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862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-227964</wp:posOffset>
                      </wp:positionH>
                      <wp:positionV relativeFrom="paragraph">
                        <wp:posOffset>-89571</wp:posOffset>
                      </wp:positionV>
                      <wp:extent cx="2908935" cy="713105"/>
                      <wp:effectExtent l="0" t="0" r="0" b="0"/>
                      <wp:wrapNone/>
                      <wp:docPr id="1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62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62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202" type="#_x0000_t202" style="position:absolute;z-index:251658242;o:allowoverlap:true;o:allowincell:true;mso-position-horizontal-relative:text;margin-left:-17.95pt;mso-position-horizontal:absolute;mso-position-vertical-relative:text;margin-top:-7.05pt;mso-position-vertical:absolute;width:229.05pt;height:56.15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62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2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62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62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62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62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62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62"/>
              <w:ind w:left="57" w:right="57"/>
              <w:jc w:val="center"/>
              <w:spacing w:line="240" w:lineRule="exact"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-512163</wp:posOffset>
                      </wp:positionV>
                      <wp:extent cx="720090" cy="720090"/>
                      <wp:effectExtent l="0" t="0" r="0" b="0"/>
                      <wp:wrapNone/>
                      <wp:docPr id="2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00304112" name=""/>
                              <pic:cNvPicPr/>
                              <pic:nvPr/>
                            </pic:nvPicPr>
                            <pic:blipFill>
                              <a:blip r:embed="rId9"/>
                              <a:srcRect l="330" t="397" r="495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58241;o:allowoverlap:true;o:allowincell:true;mso-position-horizontal-relative:text;margin-left:-2.55pt;mso-position-horizontal:absolute;mso-position-vertical-relative:text;margin-top:-40.33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862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-378636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62"/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pStyle w:val="862"/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62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524288;o:allowoverlap:true;o:allowincell:true;mso-position-horizontal-relative:text;margin-left:-5.40pt;mso-position-horizontal:absolute;mso-position-vertical-relative:text;margin-top:-29.81pt;mso-position-vertical:absolute;width:237.50pt;height:52.30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62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862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2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62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62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862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2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2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>
        <w:rPr>
          <w:szCs w:val="28"/>
          <w:highlight w:val="none"/>
        </w:rPr>
      </w:r>
      <w:r>
        <w:rPr>
          <w:szCs w:val="28"/>
          <w:highlight w:val="none"/>
        </w:rPr>
      </w:r>
      <w:r/>
    </w:p>
    <w:tbl>
      <w:tblPr>
        <w:tblW w:w="0" w:type="auto"/>
        <w:tblInd w:w="-18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24"/>
        <w:gridCol w:w="5670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4" w:type="dxa"/>
            <w:vAlign w:val="top"/>
            <w:textDirection w:val="lrTb"/>
            <w:noWrap w:val="false"/>
          </w:tcPr>
          <w:p>
            <w:pPr>
              <w:pStyle w:val="862"/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</w:t>
            </w:r>
            <w:r>
              <w:rPr>
                <w:sz w:val="28"/>
                <w:szCs w:val="28"/>
                <w:lang w:val="en-US"/>
              </w:rPr>
              <w:t xml:space="preserve">XX</w:t>
            </w:r>
            <w:r>
              <w:rPr>
                <w:sz w:val="28"/>
                <w:szCs w:val="28"/>
                <w:lang w:val="en-US"/>
              </w:rPr>
              <w:t xml:space="preserve">I</w:t>
            </w:r>
            <w:r>
              <w:rPr>
                <w:sz w:val="28"/>
                <w:szCs w:val="28"/>
              </w:rPr>
              <w:t xml:space="preserve"> Республиканской научно-практической конференции имени М.Н.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Морякова </w:t>
            </w:r>
            <w:r>
              <w:rPr>
                <w:sz w:val="28"/>
                <w:szCs w:val="28"/>
              </w:rPr>
              <w:t xml:space="preserve">для обучающихся общеобразовательных организаций и профессиональных  образовательных организаций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862"/>
              <w:ind w:left="-396" w:right="-29" w:firstLine="3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62"/>
        <w:ind w:left="-180" w:right="-29" w:firstLine="36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right="-28" w:firstLine="567"/>
        <w:jc w:val="both"/>
        <w:shd w:val="clear" w:color="auto" w:fill="ffffff"/>
        <w:rPr>
          <w:color w:val="ff0000"/>
          <w:spacing w:val="2"/>
          <w:sz w:val="28"/>
          <w:szCs w:val="28"/>
        </w:rPr>
      </w:pPr>
      <w:r>
        <w:rPr>
          <w:color w:val="ff0000"/>
          <w:spacing w:val="2"/>
          <w:sz w:val="28"/>
          <w:szCs w:val="28"/>
        </w:rPr>
      </w:r>
      <w:r>
        <w:rPr>
          <w:rStyle w:val="894"/>
          <w:color w:val="000000" w:themeColor="text1"/>
          <w:sz w:val="28"/>
          <w:szCs w:val="28"/>
        </w:rPr>
        <w:t xml:space="preserve">В соответствии с приказами Министерства образования и</w:t>
      </w:r>
      <w:r>
        <w:rPr>
          <w:rStyle w:val="894"/>
          <w:color w:val="000000" w:themeColor="text1"/>
          <w:sz w:val="28"/>
          <w:szCs w:val="28"/>
        </w:rPr>
        <w:t xml:space="preserve"> науки Республики Татарстан от </w:t>
      </w:r>
      <w:r>
        <w:rPr>
          <w:rStyle w:val="894"/>
          <w:color w:val="000000" w:themeColor="text1"/>
          <w:sz w:val="28"/>
          <w:szCs w:val="28"/>
        </w:rPr>
        <w:t xml:space="preserve">04.09.2023</w:t>
      </w:r>
      <w:r>
        <w:rPr>
          <w:rStyle w:val="894"/>
          <w:color w:val="000000" w:themeColor="text1"/>
          <w:sz w:val="28"/>
          <w:szCs w:val="28"/>
        </w:rPr>
        <w:t xml:space="preserve"> № </w:t>
      </w:r>
      <w:r>
        <w:rPr>
          <w:rStyle w:val="894"/>
          <w:color w:val="000000" w:themeColor="text1"/>
          <w:sz w:val="28"/>
          <w:szCs w:val="28"/>
        </w:rPr>
        <w:t xml:space="preserve">под-1548/23</w:t>
      </w:r>
      <w:r>
        <w:rPr>
          <w:rStyle w:val="894"/>
          <w:color w:val="000000" w:themeColor="text1"/>
          <w:sz w:val="28"/>
          <w:szCs w:val="28"/>
        </w:rPr>
        <w:t xml:space="preserve"> </w:t>
      </w:r>
      <w:r>
        <w:rPr>
          <w:rStyle w:val="894"/>
          <w:color w:val="000000" w:themeColor="text1"/>
          <w:sz w:val="28"/>
          <w:szCs w:val="28"/>
        </w:rPr>
        <w:t xml:space="preserve">«</w:t>
      </w:r>
      <w:r>
        <w:rPr>
          <w:rStyle w:val="894"/>
          <w:color w:val="000000" w:themeColor="text1"/>
          <w:sz w:val="28"/>
          <w:szCs w:val="28"/>
        </w:rPr>
        <w:t xml:space="preserve">Об утверждении Концепции развития системы предпрофильной подготовки и профильного обучения Республики Татарстан до 2030 года «Успех» («Уӊыш»)</w:t>
      </w:r>
      <w:r>
        <w:rPr>
          <w:rStyle w:val="894"/>
          <w:color w:val="000000" w:themeColor="text1"/>
          <w:sz w:val="28"/>
          <w:szCs w:val="28"/>
        </w:rPr>
        <w:t xml:space="preserve"> и от </w:t>
      </w:r>
      <w:r>
        <w:rPr>
          <w:rStyle w:val="894"/>
          <w:color w:val="000000" w:themeColor="text1"/>
          <w:sz w:val="28"/>
          <w:szCs w:val="28"/>
        </w:rPr>
        <w:t xml:space="preserve">26.08.2024</w:t>
      </w:r>
      <w:r>
        <w:rPr>
          <w:rStyle w:val="894"/>
          <w:color w:val="000000" w:themeColor="text1"/>
          <w:sz w:val="28"/>
          <w:szCs w:val="28"/>
        </w:rPr>
        <w:t xml:space="preserve"> № </w:t>
      </w:r>
      <w:r>
        <w:rPr>
          <w:rStyle w:val="894"/>
          <w:color w:val="000000" w:themeColor="text1"/>
          <w:sz w:val="28"/>
          <w:szCs w:val="28"/>
        </w:rPr>
        <w:t xml:space="preserve">под-1468/24</w:t>
      </w:r>
      <w:r>
        <w:rPr>
          <w:rStyle w:val="894"/>
          <w:color w:val="000000" w:themeColor="text1"/>
          <w:sz w:val="28"/>
          <w:szCs w:val="28"/>
        </w:rPr>
        <w:t xml:space="preserve"> </w:t>
      </w:r>
      <w:r>
        <w:rPr>
          <w:rStyle w:val="894"/>
          <w:color w:val="000000" w:themeColor="text1"/>
          <w:sz w:val="28"/>
          <w:szCs w:val="28"/>
        </w:rPr>
        <w:t xml:space="preserve">«</w:t>
      </w:r>
      <w:r>
        <w:rPr>
          <w:rStyle w:val="894"/>
          <w:color w:val="000000" w:themeColor="text1"/>
          <w:sz w:val="28"/>
          <w:szCs w:val="28"/>
        </w:rPr>
        <w:t xml:space="preserve">Об утверждении Календарного плана мероприятий Министерства образования и науки Республики Татарстан на 2024/2025 учебный год</w:t>
      </w:r>
      <w:r>
        <w:rPr>
          <w:rStyle w:val="894"/>
          <w:color w:val="000000" w:themeColor="text1"/>
          <w:sz w:val="28"/>
          <w:szCs w:val="28"/>
        </w:rPr>
        <w:t xml:space="preserve">» </w:t>
      </w:r>
      <w:r>
        <w:rPr>
          <w:rStyle w:val="894"/>
          <w:color w:val="000000" w:themeColor="text1"/>
          <w:spacing w:val="60"/>
          <w:sz w:val="28"/>
          <w:szCs w:val="28"/>
        </w:rPr>
        <w:t xml:space="preserve">приказываю:</w:t>
      </w:r>
      <w:r>
        <w:rPr>
          <w:color w:val="ff0000"/>
          <w:spacing w:val="2"/>
          <w:sz w:val="28"/>
          <w:szCs w:val="28"/>
        </w:rPr>
      </w:r>
      <w:r>
        <w:rPr>
          <w:color w:val="ff0000"/>
          <w:spacing w:val="2"/>
          <w:sz w:val="28"/>
          <w:szCs w:val="28"/>
        </w:rPr>
      </w:r>
    </w:p>
    <w:p>
      <w:pPr>
        <w:pStyle w:val="862"/>
        <w:ind w:left="-142" w:right="-28" w:firstLine="709"/>
        <w:jc w:val="both"/>
        <w:spacing w:line="264" w:lineRule="auto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>
        <w:rPr>
          <w:spacing w:val="2"/>
          <w:sz w:val="28"/>
          <w:szCs w:val="28"/>
        </w:rPr>
      </w:r>
      <w:r>
        <w:rPr>
          <w:spacing w:val="2"/>
          <w:sz w:val="28"/>
          <w:szCs w:val="28"/>
        </w:rPr>
      </w:r>
    </w:p>
    <w:p>
      <w:pPr>
        <w:pStyle w:val="862"/>
        <w:numPr>
          <w:ilvl w:val="0"/>
          <w:numId w:val="13"/>
        </w:numPr>
        <w:ind w:left="0" w:right="-28" w:firstLine="709"/>
        <w:jc w:val="both"/>
        <w:spacing w:line="240" w:lineRule="auto"/>
        <w:shd w:val="clear" w:color="auto" w:fill="ffffff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Провести 18 апреля 202</w:t>
      </w:r>
      <w:r>
        <w:rPr>
          <w:spacing w:val="2"/>
          <w:sz w:val="28"/>
          <w:szCs w:val="28"/>
        </w:rPr>
        <w:t xml:space="preserve">5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XX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Республиканскую научно-практическую конференцию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 для обучающихся общеобразовательных организаций и профессиональных образовательных организаций </w:t>
      </w:r>
      <w:r>
        <w:rPr>
          <w:spacing w:val="2"/>
          <w:sz w:val="28"/>
          <w:szCs w:val="28"/>
        </w:rPr>
        <w:t xml:space="preserve">на базе муниципального бюджетного общеобразовательного учреждения «Сред</w:t>
      </w:r>
      <w:r>
        <w:rPr>
          <w:spacing w:val="2"/>
          <w:sz w:val="28"/>
          <w:szCs w:val="28"/>
        </w:rPr>
        <w:t xml:space="preserve">няя общеобразовательная школа №</w:t>
      </w:r>
      <w:r>
        <w:rPr>
          <w:spacing w:val="2"/>
          <w:sz w:val="28"/>
          <w:szCs w:val="28"/>
        </w:rPr>
        <w:t xml:space="preserve">2» муниципального образования «Лениногорский муниципальный район» Республики Татарстан.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numPr>
          <w:ilvl w:val="0"/>
          <w:numId w:val="13"/>
        </w:numPr>
        <w:ind w:left="0" w:right="-28" w:firstLine="709"/>
        <w:jc w:val="both"/>
        <w:spacing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0" w:right="-28" w:firstLine="709"/>
        <w:jc w:val="both"/>
        <w:spacing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положение о проведении XX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Республиканской научно-практической конференции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 для обучающихся общеобразовательных организаций и профессиональных образовательных организаций;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0" w:right="-28" w:firstLine="709"/>
        <w:jc w:val="both"/>
        <w:spacing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 XX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Республиканской научно-практической конференции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 для обучающихся общеобразовательных организаций и профессиональных образовательных организаций (далее-Конференция).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numPr>
          <w:ilvl w:val="0"/>
          <w:numId w:val="13"/>
        </w:numPr>
        <w:ind w:left="0" w:right="-28" w:firstLine="709"/>
        <w:jc w:val="both"/>
        <w:spacing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Рекомендовать </w:t>
      </w:r>
      <w:r>
        <w:rPr>
          <w:sz w:val="28"/>
          <w:szCs w:val="28"/>
        </w:rPr>
        <w:t xml:space="preserve">муниципальным органам управления образованием Республики Татарстан обеспечить участие </w:t>
      </w:r>
      <w:r>
        <w:rPr>
          <w:sz w:val="28"/>
          <w:szCs w:val="28"/>
        </w:rPr>
        <w:t xml:space="preserve">заинтересованных </w:t>
      </w:r>
      <w:r>
        <w:rPr>
          <w:sz w:val="28"/>
          <w:szCs w:val="28"/>
        </w:rPr>
        <w:t xml:space="preserve">обучающихся в работе Конференции.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numPr>
          <w:ilvl w:val="0"/>
          <w:numId w:val="13"/>
        </w:numPr>
        <w:ind w:left="0" w:right="-28" w:firstLine="709"/>
        <w:jc w:val="both"/>
        <w:spacing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приказа возложить на заместителя министра М.З.</w:t>
      </w:r>
      <w:r>
        <w:rPr>
          <w:sz w:val="28"/>
          <w:szCs w:val="28"/>
        </w:rPr>
        <w:t xml:space="preserve">Закирову.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right="-29"/>
        <w:jc w:val="both"/>
        <w:spacing w:line="240" w:lineRule="auto"/>
        <w:shd w:val="clear" w:color="auto" w:fill="ffffff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</w:r>
      <w:r>
        <w:rPr>
          <w:spacing w:val="-3"/>
          <w:sz w:val="28"/>
          <w:szCs w:val="28"/>
        </w:rPr>
      </w:r>
      <w:r>
        <w:rPr>
          <w:spacing w:val="-3"/>
          <w:sz w:val="28"/>
          <w:szCs w:val="28"/>
        </w:rPr>
      </w:r>
    </w:p>
    <w:p>
      <w:pPr>
        <w:pStyle w:val="862"/>
        <w:ind w:right="-29" w:hanging="142"/>
        <w:spacing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И.о.министра                                                                                               А.И.Поминов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left="6378" w:right="0" w:firstLine="0"/>
        <w:spacing w:before="58" w:line="328" w:lineRule="exact"/>
        <w:rPr>
          <w:spacing w:val="-2"/>
          <w:highlight w:val="none"/>
        </w:rPr>
      </w:pPr>
      <w:r>
        <w:rPr>
          <w:sz w:val="28"/>
          <w:szCs w:val="28"/>
        </w:rPr>
        <w:br w:type="page" w:clear="all"/>
      </w:r>
      <w:r>
        <w:rPr>
          <w:spacing w:val="-2"/>
        </w:rPr>
        <w:t xml:space="preserve">Утверждено</w:t>
      </w:r>
      <w:r>
        <w:rPr>
          <w:spacing w:val="-2"/>
          <w:highlight w:val="none"/>
        </w:rPr>
      </w:r>
      <w:r>
        <w:rPr>
          <w:spacing w:val="-2"/>
          <w:highlight w:val="none"/>
        </w:rPr>
      </w:r>
    </w:p>
    <w:p>
      <w:pPr>
        <w:pStyle w:val="895"/>
        <w:ind w:left="6378" w:right="0" w:firstLine="0"/>
        <w:jc w:val="both"/>
        <w:spacing w:before="2" w:line="232" w:lineRule="auto"/>
      </w:pPr>
      <w:r>
        <w:t xml:space="preserve">приказом Министерства образования и науки Республики Татарстан</w:t>
      </w:r>
      <w:r/>
    </w:p>
    <w:p>
      <w:pPr>
        <w:pStyle w:val="895"/>
        <w:ind w:left="6378" w:right="0" w:firstLine="0"/>
        <w:jc w:val="both"/>
        <w:spacing w:line="325" w:lineRule="exact"/>
        <w:tabs>
          <w:tab w:val="left" w:pos="9103" w:leader="none"/>
        </w:tabs>
        <w:rPr>
          <w:highlight w:val="none"/>
          <w:u w:val="single"/>
        </w:rPr>
      </w:pPr>
      <w:r>
        <w:t xml:space="preserve">от </w:t>
      </w:r>
      <w:r>
        <w:rPr>
          <w:u w:val="single"/>
        </w:rPr>
        <w:tab/>
      </w:r>
      <w:r>
        <w:rPr>
          <w:highlight w:val="none"/>
          <w:u w:val="single"/>
        </w:rPr>
      </w:r>
      <w:r>
        <w:rPr>
          <w:highlight w:val="none"/>
          <w:u w:val="single"/>
        </w:rPr>
      </w:r>
    </w:p>
    <w:p>
      <w:pPr>
        <w:pStyle w:val="895"/>
        <w:ind w:left="6378" w:right="0" w:firstLine="0"/>
        <w:jc w:val="both"/>
        <w:spacing w:line="325" w:lineRule="exact"/>
        <w:tabs>
          <w:tab w:val="left" w:pos="9103" w:leader="none"/>
        </w:tabs>
        <w:rPr>
          <w:u w:val="none"/>
        </w:rPr>
      </w:pPr>
      <w:r>
        <w:rPr>
          <w:highlight w:val="none"/>
          <w:u w:val="none"/>
        </w:rPr>
        <w:t xml:space="preserve">№_________________</w:t>
      </w:r>
      <w:r>
        <w:rPr>
          <w:u w:val="none"/>
        </w:rPr>
      </w:r>
      <w:r>
        <w:rPr>
          <w:u w:val="none"/>
        </w:rPr>
      </w:r>
    </w:p>
    <w:p>
      <w:pPr>
        <w:jc w:val="center"/>
        <w:rPr>
          <w:sz w:val="28"/>
          <w:szCs w:val="28"/>
        </w:rPr>
      </w:pPr>
      <w:r>
        <w:rPr>
          <w:spacing w:val="80"/>
          <w:u w:val="single"/>
        </w:rPr>
        <w:t xml:space="preserve">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ПОЛОЖЕНИЕ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>
        <w:rPr>
          <w:sz w:val="28"/>
          <w:szCs w:val="28"/>
        </w:rPr>
        <w:t xml:space="preserve">XXI</w:t>
      </w:r>
      <w:r>
        <w:rPr>
          <w:sz w:val="28"/>
          <w:szCs w:val="28"/>
        </w:rPr>
        <w:t xml:space="preserve"> Республиканской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научно-практической конференции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обучающихся общеобразовательных </w:t>
      </w:r>
      <w:r>
        <w:rPr>
          <w:sz w:val="28"/>
          <w:szCs w:val="28"/>
        </w:rPr>
        <w:t xml:space="preserve">организаций и профессиональных образовательных организаций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1.Общие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>
        <w:rPr>
          <w:sz w:val="28"/>
          <w:szCs w:val="28"/>
        </w:rPr>
        <w:t xml:space="preserve">XXI</w:t>
      </w:r>
      <w:r>
        <w:rPr>
          <w:sz w:val="28"/>
          <w:szCs w:val="28"/>
        </w:rPr>
        <w:t xml:space="preserve"> Республиканская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научно-практическая конференция</w:t>
      </w:r>
      <w:r>
        <w:rPr>
          <w:sz w:val="28"/>
          <w:szCs w:val="28"/>
        </w:rPr>
        <w:t xml:space="preserve">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 </w:t>
      </w:r>
      <w:r>
        <w:rPr>
          <w:sz w:val="28"/>
          <w:szCs w:val="28"/>
        </w:rPr>
        <w:t xml:space="preserve">для обучающихся общеобразовательных организаций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профессиональных образовательных организаций (далее – Конференция) </w:t>
      </w:r>
      <w:r>
        <w:rPr>
          <w:sz w:val="28"/>
          <w:szCs w:val="28"/>
        </w:rPr>
        <w:t xml:space="preserve">приурочена 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80-летию Победы,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70-летию г.Лениногорска, 80-летию Лениногорскнефти, 75-летию Татнефти.</w:t>
      </w:r>
      <w:r>
        <w:rPr>
          <w:sz w:val="28"/>
          <w:szCs w:val="28"/>
        </w:rPr>
        <w:t xml:space="preserve"> Конференция </w:t>
      </w:r>
      <w:r>
        <w:rPr>
          <w:sz w:val="28"/>
          <w:szCs w:val="28"/>
        </w:rPr>
        <w:t xml:space="preserve">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преподавателей и учителей.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рамках Конференции предусмотрено проведение Круглого стола для педагогов «</w:t>
      </w:r>
      <w:r>
        <w:rPr>
          <w:sz w:val="28"/>
          <w:szCs w:val="28"/>
        </w:rPr>
        <w:t xml:space="preserve">Роль научно-исследовательской работы в развитии творческого и интеллектуального потенциала учащегося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Цель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Активизация творческой, познавательной и интеллектуальной инициативы учащихся и студентов посредством привлечения их к исследовательской и проектной деятельности в различных областях науки и культуры.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Задачи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Выявление и поддержка творчески активных учащихся, перспективных инновационных образовательных студенческих, ученических проектов и инициатив;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Стимулирование продуктивной деятельности студентов, школьников, ориентированной на личност</w:t>
      </w:r>
      <w:r>
        <w:rPr>
          <w:sz w:val="28"/>
          <w:szCs w:val="28"/>
        </w:rPr>
        <w:t xml:space="preserve">ную и творческую самореализацию;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Формирование у обучающихся профессионально-значимых качеств личности, публичного представления и защиты</w:t>
      </w:r>
      <w:r>
        <w:rPr>
          <w:sz w:val="28"/>
          <w:szCs w:val="28"/>
        </w:rPr>
        <w:t xml:space="preserve"> своей исследовательской работы;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Развитие образовательных программ и методик, основанных на исследовательской деятельности обучающихся как действенного средства повышения эффектив</w:t>
      </w:r>
      <w:r>
        <w:rPr>
          <w:sz w:val="28"/>
          <w:szCs w:val="28"/>
        </w:rPr>
        <w:t xml:space="preserve">ности образовательного процесса;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Демонстрация и пропаганда лучших достижений учащейся молодежи, опыта работы образовательного учреждения по организации учебной и научно-исследовательской деятельности.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Организаторы</w:t>
      </w:r>
      <w:r>
        <w:rPr>
          <w:sz w:val="28"/>
          <w:szCs w:val="28"/>
        </w:rPr>
        <w:t xml:space="preserve"> Конференци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Организаторами Конференции являются: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Соорганизаторами: Муниципальное казенное учр</w:t>
      </w:r>
      <w:r>
        <w:rPr>
          <w:sz w:val="28"/>
          <w:szCs w:val="28"/>
        </w:rPr>
        <w:t xml:space="preserve">еждение «Управление образования» </w:t>
      </w:r>
      <w:r>
        <w:rPr>
          <w:sz w:val="28"/>
          <w:szCs w:val="28"/>
        </w:rPr>
        <w:t xml:space="preserve">Исполнительного комитета муниципального образования «Лениногорский муниципаль</w:t>
      </w:r>
      <w:r>
        <w:rPr>
          <w:sz w:val="28"/>
          <w:szCs w:val="28"/>
        </w:rPr>
        <w:t xml:space="preserve">ный район» Республики Татарстан</w:t>
      </w:r>
      <w:r>
        <w:rPr>
          <w:sz w:val="28"/>
          <w:szCs w:val="28"/>
        </w:rPr>
        <w:t xml:space="preserve"> (по согласованию);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«Сред</w:t>
      </w:r>
      <w:r>
        <w:rPr>
          <w:sz w:val="28"/>
          <w:szCs w:val="28"/>
        </w:rPr>
        <w:t xml:space="preserve">няя общеобразовательная школа №</w:t>
      </w:r>
      <w:r>
        <w:rPr>
          <w:sz w:val="28"/>
          <w:szCs w:val="28"/>
        </w:rPr>
        <w:t xml:space="preserve">2» муниципального образования «Лениногорский муниципаль</w:t>
      </w:r>
      <w:r>
        <w:rPr>
          <w:sz w:val="28"/>
          <w:szCs w:val="28"/>
        </w:rPr>
        <w:t xml:space="preserve">ный район» Республики Татарстан </w:t>
      </w:r>
      <w:r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СОШ №2</w:t>
      </w:r>
      <w:r>
        <w:rPr>
          <w:sz w:val="28"/>
          <w:szCs w:val="28"/>
        </w:rPr>
        <w:t xml:space="preserve">) (по согласованию);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Структурное подразделение «Татнефть-добыча» нефтегазодобывающего управления «Лениногорскнефть» (по согласованию);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Участники Конференции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5.1. Для участия в Конференции приглашаются обучающиеся 3-11-х классов общеобразовательных </w:t>
      </w:r>
      <w:r>
        <w:rPr>
          <w:sz w:val="28"/>
          <w:szCs w:val="28"/>
        </w:rPr>
        <w:t xml:space="preserve">организаций</w:t>
      </w:r>
      <w:r>
        <w:rPr>
          <w:sz w:val="28"/>
          <w:szCs w:val="28"/>
        </w:rPr>
        <w:t xml:space="preserve">, студенты профессиональных образовательных организаций </w:t>
      </w:r>
      <w:r>
        <w:rPr>
          <w:sz w:val="28"/>
          <w:szCs w:val="28"/>
        </w:rPr>
        <w:t xml:space="preserve">Республики Татарстан.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pStyle w:val="862"/>
        <w:ind w:firstLine="567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pStyle w:val="862"/>
        <w:ind w:left="360"/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6. </w:t>
      </w:r>
      <w:r>
        <w:rPr>
          <w:sz w:val="28"/>
          <w:szCs w:val="28"/>
        </w:rPr>
        <w:t xml:space="preserve">Сроки и этапы проведения Конференции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Конференция проводится в 2 этапа: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этап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до 15 марта 2025</w:t>
      </w:r>
      <w:r>
        <w:rPr>
          <w:sz w:val="28"/>
          <w:szCs w:val="28"/>
        </w:rPr>
        <w:t xml:space="preserve"> года (заочный). Оценка представленных в Оргкомитет электронных вариантов работ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</w:t>
      </w:r>
      <w:r>
        <w:rPr>
          <w:sz w:val="28"/>
          <w:szCs w:val="28"/>
        </w:rPr>
        <w:t xml:space="preserve"> этап – 18 </w:t>
      </w:r>
      <w:r>
        <w:rPr>
          <w:sz w:val="28"/>
          <w:szCs w:val="28"/>
        </w:rPr>
        <w:t xml:space="preserve">апреля 2025</w:t>
      </w:r>
      <w:r>
        <w:rPr>
          <w:sz w:val="28"/>
          <w:szCs w:val="28"/>
        </w:rPr>
        <w:t xml:space="preserve"> года (очный). Приглашаются победители по результатам 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этапа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Место проведения: 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Лениногорск, ул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Морякова, д.4, </w:t>
      </w:r>
      <w:r>
        <w:rPr>
          <w:sz w:val="28"/>
          <w:szCs w:val="28"/>
        </w:rPr>
        <w:t xml:space="preserve">СОШ №2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7. </w:t>
      </w:r>
      <w:r>
        <w:rPr>
          <w:sz w:val="28"/>
          <w:szCs w:val="28"/>
        </w:rPr>
        <w:t xml:space="preserve">Порядок приема заявок и работ на Конференцию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Заявка, тезисы исследовательской работы, текст исследовательской работы, согласие на обработку персональных данных направляются в Оргкомитет с пометкой в письме «На конференцию </w:t>
      </w:r>
      <w:r>
        <w:rPr>
          <w:sz w:val="28"/>
          <w:szCs w:val="28"/>
        </w:rPr>
        <w:t xml:space="preserve">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</w:t>
      </w:r>
      <w:r>
        <w:rPr>
          <w:sz w:val="28"/>
          <w:szCs w:val="28"/>
        </w:rPr>
        <w:t xml:space="preserve">» в срок до 15 марта 2025</w:t>
      </w:r>
      <w:r>
        <w:rPr>
          <w:sz w:val="28"/>
          <w:szCs w:val="28"/>
        </w:rPr>
        <w:t xml:space="preserve"> г. на электронный адрес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"mailto:npk.moryakova.leninigorsk@mail.ru" </w:instrText>
      </w:r>
      <w:r>
        <w:rPr>
          <w:sz w:val="28"/>
          <w:szCs w:val="28"/>
        </w:rPr>
        <w:fldChar w:fldCharType="separate"/>
      </w:r>
      <w:r>
        <w:rPr>
          <w:rStyle w:val="871"/>
          <w:sz w:val="28"/>
          <w:szCs w:val="28"/>
          <w:u w:val="none"/>
        </w:rPr>
        <w:t xml:space="preserve">npk.moryakova.leninigorsk@mail.ru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указанной форме (приложения 1,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Направляя свою работу на Конференцию, автор автоматически дает организаторам Конференции право на использование присланного материала в некоммерческих целях.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Работы, представленные позже указанного срока, расс</w:t>
      </w:r>
      <w:r>
        <w:rPr>
          <w:sz w:val="28"/>
          <w:szCs w:val="28"/>
        </w:rPr>
        <w:t xml:space="preserve">матриваться не будут. Представленная участником работа не принимается к рассмотрению в случаях, если: ранее участник с данной работой был признан победителем или призером муниципальных, республиканских научных конференций, не достигает 60 % оригинальности.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8. Условия отбора участников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поступившие исследовательские работы после регистрации в Оргкомитете подлежат оценке и конкурсному отбору комиссией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оценке работ.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Проверенные и отобранные комиссией работы будут представлены для публичной защиты на предметной секции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Исследовательская работа может быть направлена на заслушивание в другую секцию, в случае несоответствия содержания работы заявленной секции.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комиссии по оценке работ правомочно принимать решения при присутствии на заседании более половины от общего состава, включая председателя.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 по оценке работ оценивают материалы путем проставления в оценочный лист оценки по каждому критерию. Итоговая оценка материалов определяется по общему баллу всех оценочных листов членов комиссии. При равенстве набранных баллов </w:t>
      </w:r>
      <w:r>
        <w:rPr>
          <w:sz w:val="28"/>
          <w:szCs w:val="28"/>
        </w:rPr>
        <w:t xml:space="preserve">голос председателя </w:t>
      </w:r>
      <w:r>
        <w:rPr>
          <w:sz w:val="28"/>
          <w:szCs w:val="28"/>
        </w:rPr>
        <w:t xml:space="preserve">комиссии по оценке работ</w:t>
      </w:r>
      <w:r>
        <w:rPr>
          <w:sz w:val="28"/>
          <w:szCs w:val="28"/>
        </w:rPr>
        <w:t xml:space="preserve"> является решающим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оценке работ заносятся в протокол </w:t>
      </w:r>
      <w:r>
        <w:rPr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являются</w:t>
      </w:r>
      <w:r>
        <w:rPr>
          <w:color w:val="000000"/>
          <w:sz w:val="28"/>
          <w:szCs w:val="28"/>
        </w:rPr>
        <w:t xml:space="preserve"> окончательными. </w:t>
      </w:r>
      <w:r>
        <w:rPr>
          <w:sz w:val="28"/>
          <w:szCs w:val="28"/>
        </w:rPr>
        <w:t xml:space="preserve">Протокол</w:t>
      </w:r>
      <w:r>
        <w:rPr>
          <w:sz w:val="28"/>
          <w:szCs w:val="28"/>
        </w:rPr>
        <w:t xml:space="preserve"> подписывают председатель и члены </w:t>
      </w:r>
      <w:r>
        <w:rPr>
          <w:sz w:val="28"/>
          <w:szCs w:val="28"/>
        </w:rPr>
        <w:t xml:space="preserve">комиссии по оценке работ</w:t>
      </w:r>
      <w:r>
        <w:rPr>
          <w:sz w:val="28"/>
          <w:szCs w:val="28"/>
        </w:rPr>
        <w:t xml:space="preserve">, принимавшие участие в</w:t>
      </w:r>
      <w:r>
        <w:rPr>
          <w:sz w:val="28"/>
          <w:szCs w:val="28"/>
        </w:rPr>
        <w:t xml:space="preserve"> оценке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Замечания, вопросы, претензии по работе Конференции принимаются Оргкомитетом в день работы предметных секций.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708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Резул</w:t>
      </w:r>
      <w:r>
        <w:rPr>
          <w:rFonts w:eastAsia="Arial Unicode MS"/>
          <w:sz w:val="28"/>
          <w:szCs w:val="28"/>
        </w:rPr>
        <w:t xml:space="preserve">ьтаты первого (заочного) этапа </w:t>
      </w:r>
      <w:r>
        <w:rPr>
          <w:rFonts w:eastAsia="Arial Unicode MS"/>
          <w:sz w:val="28"/>
          <w:szCs w:val="28"/>
        </w:rPr>
        <w:t xml:space="preserve">(не содержащи</w:t>
      </w:r>
      <w:r>
        <w:rPr>
          <w:rFonts w:eastAsia="Arial Unicode MS"/>
          <w:sz w:val="28"/>
          <w:szCs w:val="28"/>
        </w:rPr>
        <w:t xml:space="preserve">е персональных </w:t>
      </w:r>
      <w:r>
        <w:rPr>
          <w:rFonts w:eastAsia="Arial Unicode MS"/>
          <w:sz w:val="28"/>
          <w:szCs w:val="28"/>
        </w:rPr>
        <w:t xml:space="preserve">данных) в соответствии с кодами, по</w:t>
      </w:r>
      <w:r>
        <w:rPr>
          <w:rFonts w:eastAsia="Arial Unicode MS"/>
          <w:sz w:val="28"/>
          <w:szCs w:val="28"/>
        </w:rPr>
        <w:t xml:space="preserve">л</w:t>
      </w:r>
      <w:r>
        <w:rPr>
          <w:rFonts w:eastAsia="Arial Unicode MS"/>
          <w:sz w:val="28"/>
          <w:szCs w:val="28"/>
        </w:rPr>
        <w:t xml:space="preserve">ученными при регистрации, будут о</w:t>
      </w:r>
      <w:r>
        <w:rPr>
          <w:rFonts w:eastAsia="Arial Unicode MS"/>
          <w:sz w:val="28"/>
          <w:szCs w:val="28"/>
        </w:rPr>
        <w:t xml:space="preserve">публик</w:t>
      </w:r>
      <w:r>
        <w:rPr>
          <w:rFonts w:eastAsia="Arial Unicode MS"/>
          <w:sz w:val="28"/>
          <w:szCs w:val="28"/>
        </w:rPr>
        <w:t xml:space="preserve">ованы на сайте СОШ №</w:t>
      </w:r>
      <w:r>
        <w:rPr>
          <w:rFonts w:eastAsia="Arial Unicode MS"/>
          <w:sz w:val="28"/>
          <w:szCs w:val="28"/>
        </w:rPr>
        <w:t xml:space="preserve">2</w:t>
      </w:r>
      <w:r>
        <w:rPr>
          <w:sz w:val="28"/>
          <w:szCs w:val="28"/>
        </w:rPr>
        <w:t xml:space="preserve">:  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"https://edu.tatar.ru/l-gorsk/sch2" </w:instrText>
      </w:r>
      <w:r>
        <w:rPr>
          <w:sz w:val="28"/>
          <w:szCs w:val="28"/>
        </w:rPr>
        <w:fldChar w:fldCharType="separate"/>
      </w:r>
      <w:r>
        <w:rPr>
          <w:rStyle w:val="871"/>
          <w:sz w:val="28"/>
          <w:szCs w:val="28"/>
          <w:u w:val="none"/>
        </w:rPr>
        <w:t xml:space="preserve">https://edu.tatar.ru/l-gorsk/sch2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(раздел «Конференция им. М.Н. </w:t>
      </w:r>
      <w:r>
        <w:rPr>
          <w:sz w:val="28"/>
          <w:szCs w:val="28"/>
        </w:rPr>
        <w:t xml:space="preserve">Морякова) не позднее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апреля 2025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9. Технология проведения Конференции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9.1. </w:t>
      </w:r>
      <w:r>
        <w:rPr>
          <w:sz w:val="28"/>
          <w:szCs w:val="28"/>
        </w:rPr>
        <w:t xml:space="preserve">Для подготовки и проведения Конференции создаётся организационный комитет (далее – Оргкомитет) 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9.1.1. Функции Оргкомитета: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принятие решения о составе жюри и назначение его председателя;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информационная поддержка Конференции в соответствии с планом его работы;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прием работ, представленных для участия в Конференции;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регистрация работ и передача их на рассмотрение в жюри;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формирование списков участников по секциям;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организационно-техническое обеспечение конференции; 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техническая координация работы жюри во время проведения Конференции.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утверждение критериев оценивания, а также значения критериев оценки.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9.2. Организатор Конференции оставляет за собой исключительное право использовать материал, полученный в ходе Конференции, для рекламы и развития Конференции. 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9.3. Жюри формируется из представителей организаторов и соорганизаторов. Состав жюри состоит из Председателя, ответственного секретаря и членов жюри.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Каждую работу оценивает не менее 3 членов жюри. Заочная экспертиза представленных материалов проводится членами жюри. 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Ч</w:t>
      </w:r>
      <w:r>
        <w:rPr>
          <w:sz w:val="28"/>
          <w:szCs w:val="28"/>
        </w:rPr>
        <w:t xml:space="preserve">лены жюри обладают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</w:t>
      </w:r>
      <w:r>
        <w:rPr>
          <w:sz w:val="28"/>
          <w:szCs w:val="28"/>
        </w:rPr>
        <w:t xml:space="preserve">тся определяющим.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  <w:r/>
    </w:p>
    <w:p>
      <w:pPr>
        <w:pStyle w:val="862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Решение жюри оформляется протоколом, который подписывает председатель жюри. </w:t>
      </w:r>
      <w:r/>
    </w:p>
    <w:p>
      <w:pPr>
        <w:pStyle w:val="862"/>
        <w:contextualSpacing/>
        <w:ind w:firstLine="709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 жюри председательствует, осуществляет организацию и координацию работы на заседаниях состава жюри.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9.4. </w:t>
      </w:r>
      <w:r>
        <w:rPr>
          <w:sz w:val="28"/>
          <w:szCs w:val="28"/>
          <w:highlight w:val="none"/>
        </w:rPr>
        <w:t xml:space="preserve">По окончании работы секций проводится заседание членов жюри и выносится решение о победителях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</w:t>
      </w:r>
      <w:r>
        <w:rPr>
          <w:sz w:val="28"/>
          <w:szCs w:val="28"/>
          <w:highlight w:val="none"/>
        </w:rPr>
        <w:t xml:space="preserve"> и 3 место. Максимальное количество вторых мест – два, третьих мест – два.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 На Конференцию представляются индивидуальные и коллективные работы, выполненные в различных областях гуманитарных, естественно-научных знаний и технического творчества.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9.6. Перечень секций Конференции: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«Техническое творчество» (5-11 классы общеобразовательных организаций, студенты профессиональных образовательных организаций)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«Геология. География» (5-11 классы общеобразовательных организаций, студенты СПО)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«Социальные науки. </w:t>
      </w:r>
      <w:r>
        <w:rPr>
          <w:sz w:val="28"/>
          <w:szCs w:val="28"/>
        </w:rPr>
        <w:t xml:space="preserve">Экономика. Право. История. Культурология. Философия</w:t>
      </w:r>
      <w:r>
        <w:rPr>
          <w:sz w:val="28"/>
          <w:szCs w:val="28"/>
        </w:rPr>
        <w:t xml:space="preserve">» </w:t>
      </w:r>
      <w:r>
        <w:rPr>
          <w:sz w:val="28"/>
          <w:szCs w:val="28"/>
        </w:rPr>
        <w:t xml:space="preserve">(5-11 классы общеобразовательных организаций, студенты </w:t>
      </w:r>
      <w:r>
        <w:rPr>
          <w:sz w:val="28"/>
          <w:szCs w:val="28"/>
        </w:rPr>
        <w:t xml:space="preserve">профессиональных образовательных организаций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«Краеведение. Археология» (6-11 классы общеобразовательных организаций, студенты </w:t>
      </w:r>
      <w:r>
        <w:rPr>
          <w:sz w:val="28"/>
          <w:szCs w:val="28"/>
        </w:rPr>
        <w:t xml:space="preserve">профессиональных образовательных организаций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«Краеведение. Археология» (2-5 классы общеобразовательных организаций)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«Иностранные языки: английский язык» (5-11 классы общеобразовательных организаций, студенты </w:t>
      </w:r>
      <w:r>
        <w:rPr>
          <w:sz w:val="28"/>
          <w:szCs w:val="28"/>
        </w:rPr>
        <w:t xml:space="preserve">профессиональных образовательных организаций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«Русская филология. Литературоведение» (5-11 классы общеобразовательных организаций, студенты </w:t>
      </w:r>
      <w:r>
        <w:rPr>
          <w:sz w:val="28"/>
          <w:szCs w:val="28"/>
        </w:rPr>
        <w:t xml:space="preserve">профессиональных образовательных организаций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«Татарская филология. Литературоведение» (5-11 классы общеобразовательных организаций, студенты </w:t>
      </w:r>
      <w:r>
        <w:rPr>
          <w:sz w:val="28"/>
          <w:szCs w:val="28"/>
        </w:rPr>
        <w:t xml:space="preserve">профессиональных образовательных организаций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«Естественные науки (Медицина. Химия. Биология. Экология)» (5-11 классы общеобразовательных организаций, студенты </w:t>
      </w:r>
      <w:r>
        <w:rPr>
          <w:sz w:val="28"/>
          <w:szCs w:val="28"/>
        </w:rPr>
        <w:t xml:space="preserve">профессиональных образовательных организаций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«Математика. Информатика» (5-11 классы общеобразовательных организаций, студенты </w:t>
      </w:r>
      <w:r>
        <w:rPr>
          <w:sz w:val="28"/>
          <w:szCs w:val="28"/>
        </w:rPr>
        <w:t xml:space="preserve">профессиональных образовательных организаций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«Физика» (5-11 классы общеобразовательных организаций, студенты </w:t>
      </w:r>
      <w:r>
        <w:rPr>
          <w:sz w:val="28"/>
          <w:szCs w:val="28"/>
        </w:rPr>
        <w:t xml:space="preserve">профессиональных образовательных организаций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«Юный исследователь (гуманитарное направление)» (3-4 классы общеобразовательных организаций)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«Юный исследователь (естественнонаучное направление)» (3-4 классы общеобразовательных организаций)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 xml:space="preserve">юбилейными датами </w:t>
      </w:r>
      <w:r>
        <w:rPr>
          <w:sz w:val="28"/>
          <w:szCs w:val="28"/>
        </w:rPr>
        <w:t xml:space="preserve">в секции «Краеведение. Археология» выделяется </w:t>
      </w:r>
      <w:r>
        <w:rPr>
          <w:sz w:val="28"/>
          <w:szCs w:val="28"/>
          <w:lang w:val="tt-RU"/>
        </w:rPr>
        <w:t xml:space="preserve">подсекция </w:t>
      </w:r>
      <w:r>
        <w:rPr>
          <w:sz w:val="28"/>
          <w:szCs w:val="28"/>
        </w:rPr>
        <w:t xml:space="preserve">«</w:t>
      </w:r>
      <w:r>
        <w:rPr>
          <w:sz w:val="28"/>
          <w:szCs w:val="28"/>
          <w:lang w:val="tt-RU"/>
        </w:rPr>
        <w:t xml:space="preserve">Страницы Великой Победы. Большая нефть Татарстана – путь к победе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(4-11</w:t>
      </w:r>
      <w:r>
        <w:rPr>
          <w:sz w:val="28"/>
          <w:szCs w:val="28"/>
        </w:rPr>
        <w:t xml:space="preserve"> классы общеобразовательных организаций)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9.7. Все участники, допущенные к участию в очном туре, включаются в программу работы конференции в соответствующей секции. График работы очного тура с указанием места и времени проведения секций публикуется на сайте за неделю до начала очног</w:t>
      </w:r>
      <w:r>
        <w:rPr>
          <w:sz w:val="28"/>
          <w:szCs w:val="28"/>
        </w:rPr>
        <w:t xml:space="preserve">о тура, не позднее 11 апреля 2025</w:t>
      </w:r>
      <w:r>
        <w:rPr>
          <w:sz w:val="28"/>
          <w:szCs w:val="28"/>
        </w:rPr>
        <w:t xml:space="preserve">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</w:t>
      </w:r>
      <w:r>
        <w:rPr>
          <w:sz w:val="28"/>
          <w:szCs w:val="28"/>
        </w:rPr>
        <w:t xml:space="preserve">очного ту</w:t>
      </w:r>
      <w:r>
        <w:rPr>
          <w:sz w:val="28"/>
          <w:szCs w:val="28"/>
        </w:rPr>
        <w:t xml:space="preserve">ра необходимо   иметь с собой</w:t>
      </w:r>
      <w:r>
        <w:rPr>
          <w:sz w:val="28"/>
          <w:szCs w:val="28"/>
        </w:rPr>
        <w:t xml:space="preserve"> напечатанный экземпляр текста исследовательской работы.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выступление по представлению своей работы участнику дается 5-7 минут, на выступление при обсуждении - до 3 минут.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0"/>
        <w:ind w:firstLine="709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10. Проведение Круглого стола для педагогов </w:t>
      </w:r>
      <w:r>
        <w:rPr>
          <w:sz w:val="28"/>
          <w:szCs w:val="28"/>
        </w:rPr>
        <w:t xml:space="preserve">«Роль научно-исследовательской работы в развитии творческого и интеллектуального потенциала учащегося»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Круглый</w:t>
      </w:r>
      <w:r>
        <w:rPr>
          <w:sz w:val="28"/>
          <w:szCs w:val="28"/>
        </w:rPr>
        <w:t xml:space="preserve"> стол проводится 18 апреля 2025</w:t>
      </w:r>
      <w:r>
        <w:rPr>
          <w:sz w:val="28"/>
          <w:szCs w:val="28"/>
        </w:rPr>
        <w:t xml:space="preserve"> года в рамках </w:t>
      </w:r>
      <w:r>
        <w:rPr>
          <w:sz w:val="28"/>
          <w:szCs w:val="28"/>
          <w:lang w:val="en-US"/>
        </w:rPr>
        <w:t xml:space="preserve">XXI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Республиканской </w:t>
      </w:r>
      <w:r>
        <w:rPr>
          <w:sz w:val="28"/>
          <w:szCs w:val="28"/>
        </w:rPr>
        <w:t xml:space="preserve">научно-практической конференции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 для обучающихся общеобразовательных </w:t>
      </w:r>
      <w:r>
        <w:rPr>
          <w:sz w:val="28"/>
          <w:szCs w:val="28"/>
        </w:rPr>
        <w:t xml:space="preserve">организаций и профессиональных образовательных организаций.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Актуальность темы Круглого стола обусловлена тем,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 </w:t>
      </w:r>
      <w:r>
        <w:rPr>
          <w:sz w:val="28"/>
          <w:szCs w:val="28"/>
        </w:rPr>
        <w:t xml:space="preserve">современные реалии выдвигают в качестве требований к подрастающему п</w:t>
      </w:r>
      <w:r>
        <w:rPr>
          <w:sz w:val="28"/>
          <w:szCs w:val="28"/>
        </w:rPr>
        <w:t xml:space="preserve">околению развитие высокого науч</w:t>
      </w:r>
      <w:r>
        <w:rPr>
          <w:sz w:val="28"/>
          <w:szCs w:val="28"/>
        </w:rPr>
        <w:t xml:space="preserve">но-исследовательского потенциала.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Целью Круглого стола является обмен опытом инновационной образовательной деятельности, способствующей творческому и интеллектуальному развитию обучающихся общеобразовательных организаций, учреждений среднего профессионального образования.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 К участию в Круглом столе приглашаются</w:t>
      </w:r>
      <w:r>
        <w:rPr>
          <w:sz w:val="28"/>
          <w:szCs w:val="28"/>
          <w:shd w:val="clear" w:color="auto" w:fill="ffffff"/>
        </w:rPr>
        <w:t xml:space="preserve"> педагоги – руководители исследовательских и проектных работ, принимающие участие в Конференции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Круглом с</w:t>
      </w:r>
      <w:r>
        <w:rPr>
          <w:sz w:val="28"/>
          <w:szCs w:val="28"/>
        </w:rPr>
        <w:t xml:space="preserve">толе необходимо до 1 апреля 2025</w:t>
      </w:r>
      <w:r>
        <w:rPr>
          <w:sz w:val="28"/>
          <w:szCs w:val="28"/>
        </w:rPr>
        <w:t xml:space="preserve"> года отправить  заявку,  статью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на электронный адрес </w:t>
      </w:r>
      <w:r>
        <w:rPr>
          <w:sz w:val="28"/>
          <w:szCs w:val="28"/>
          <w:lang w:val="en-US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  <w:lang w:val="en-US"/>
        </w:rPr>
        <w:instrText xml:space="preserve">HYPERLINK</w:instrText>
      </w:r>
      <w:r>
        <w:rPr>
          <w:sz w:val="28"/>
          <w:szCs w:val="28"/>
        </w:rPr>
        <w:instrText xml:space="preserve"> "</w:instrText>
      </w:r>
      <w:r>
        <w:rPr>
          <w:sz w:val="28"/>
          <w:szCs w:val="28"/>
          <w:lang w:val="en-US"/>
        </w:rPr>
        <w:instrText xml:space="preserve">mailto</w:instrText>
      </w:r>
      <w:r>
        <w:rPr>
          <w:sz w:val="28"/>
          <w:szCs w:val="28"/>
        </w:rPr>
        <w:instrText xml:space="preserve">:</w:instrText>
      </w:r>
      <w:r>
        <w:rPr>
          <w:sz w:val="28"/>
          <w:szCs w:val="28"/>
          <w:lang w:val="en-US"/>
        </w:rPr>
        <w:instrText xml:space="preserve">npk</w:instrText>
      </w:r>
      <w:r>
        <w:rPr>
          <w:sz w:val="28"/>
          <w:szCs w:val="28"/>
        </w:rPr>
        <w:instrText xml:space="preserve">.</w:instrText>
      </w:r>
      <w:r>
        <w:rPr>
          <w:sz w:val="28"/>
          <w:szCs w:val="28"/>
          <w:lang w:val="en-US"/>
        </w:rPr>
        <w:instrText xml:space="preserve">moryakova</w:instrText>
      </w:r>
      <w:r>
        <w:rPr>
          <w:sz w:val="28"/>
          <w:szCs w:val="28"/>
        </w:rPr>
        <w:instrText xml:space="preserve">.</w:instrText>
      </w:r>
      <w:r>
        <w:rPr>
          <w:sz w:val="28"/>
          <w:szCs w:val="28"/>
          <w:lang w:val="en-US"/>
        </w:rPr>
        <w:instrText xml:space="preserve">leninigorsk</w:instrText>
      </w:r>
      <w:r>
        <w:rPr>
          <w:sz w:val="28"/>
          <w:szCs w:val="28"/>
        </w:rPr>
        <w:instrText xml:space="preserve">@</w:instrText>
      </w:r>
      <w:r>
        <w:rPr>
          <w:sz w:val="28"/>
          <w:szCs w:val="28"/>
          <w:lang w:val="en-US"/>
        </w:rPr>
        <w:instrText xml:space="preserve">mail</w:instrText>
      </w:r>
      <w:r>
        <w:rPr>
          <w:sz w:val="28"/>
          <w:szCs w:val="28"/>
        </w:rPr>
        <w:instrText xml:space="preserve">.</w:instrText>
      </w:r>
      <w:r>
        <w:rPr>
          <w:sz w:val="28"/>
          <w:szCs w:val="28"/>
          <w:lang w:val="en-US"/>
        </w:rPr>
        <w:instrText xml:space="preserve">ru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  <w:lang w:val="en-US"/>
        </w:rPr>
        <w:fldChar w:fldCharType="separate"/>
      </w:r>
      <w:r>
        <w:rPr>
          <w:rStyle w:val="871"/>
          <w:color w:val="000000"/>
          <w:sz w:val="28"/>
          <w:szCs w:val="28"/>
          <w:u w:val="none"/>
          <w:lang w:val="en-US"/>
        </w:rPr>
        <w:t xml:space="preserve">npk</w:t>
      </w:r>
      <w:r>
        <w:rPr>
          <w:rStyle w:val="871"/>
          <w:color w:val="000000"/>
          <w:sz w:val="28"/>
          <w:szCs w:val="28"/>
          <w:u w:val="none"/>
        </w:rPr>
        <w:t xml:space="preserve">.</w:t>
      </w:r>
      <w:r>
        <w:rPr>
          <w:rStyle w:val="871"/>
          <w:color w:val="000000"/>
          <w:sz w:val="28"/>
          <w:szCs w:val="28"/>
          <w:u w:val="none"/>
          <w:lang w:val="en-US"/>
        </w:rPr>
        <w:t xml:space="preserve">moryakova</w:t>
      </w:r>
      <w:r>
        <w:rPr>
          <w:rStyle w:val="871"/>
          <w:color w:val="000000"/>
          <w:sz w:val="28"/>
          <w:szCs w:val="28"/>
          <w:u w:val="none"/>
        </w:rPr>
        <w:t xml:space="preserve">.</w:t>
      </w:r>
      <w:r>
        <w:rPr>
          <w:rStyle w:val="871"/>
          <w:color w:val="000000"/>
          <w:sz w:val="28"/>
          <w:szCs w:val="28"/>
          <w:u w:val="none"/>
          <w:lang w:val="en-US"/>
        </w:rPr>
        <w:t xml:space="preserve">leninigorsk</w:t>
      </w:r>
      <w:r>
        <w:rPr>
          <w:rStyle w:val="871"/>
          <w:color w:val="000000"/>
          <w:sz w:val="28"/>
          <w:szCs w:val="28"/>
          <w:u w:val="none"/>
        </w:rPr>
        <w:t xml:space="preserve">@</w:t>
      </w:r>
      <w:r>
        <w:rPr>
          <w:rStyle w:val="871"/>
          <w:color w:val="000000"/>
          <w:sz w:val="28"/>
          <w:szCs w:val="28"/>
          <w:u w:val="none"/>
          <w:lang w:val="en-US"/>
        </w:rPr>
        <w:t xml:space="preserve">mail</w:t>
      </w:r>
      <w:r>
        <w:rPr>
          <w:rStyle w:val="871"/>
          <w:color w:val="000000"/>
          <w:sz w:val="28"/>
          <w:szCs w:val="28"/>
          <w:u w:val="none"/>
        </w:rPr>
        <w:t xml:space="preserve">.</w:t>
      </w:r>
      <w:r>
        <w:rPr>
          <w:rStyle w:val="871"/>
          <w:color w:val="000000"/>
          <w:sz w:val="28"/>
          <w:szCs w:val="28"/>
          <w:u w:val="none"/>
          <w:lang w:val="en-US"/>
        </w:rPr>
        <w:t xml:space="preserve">ru</w:t>
      </w:r>
      <w:r>
        <w:rPr>
          <w:sz w:val="28"/>
          <w:szCs w:val="28"/>
          <w:lang w:val="en-US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пометкой Круглый стол)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firstLine="567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10.5. Работа Круглого стола предусматривает публичные выступления участников. Регламент выступления участников - продолжительностью 5-7 минут. Ответы на вопросы - до трех минут.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Объём статьи: не более 8 печатных страниц (формат А4).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Параметры страницы: формат А4, поля 2 см со всех сторон, междустрочный интервал - одинарный, абзацный отступ – 1 см. 3.4. Шрифт: кегль - 14, тип - Times New Roman.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текста: название статьи печат</w:t>
      </w:r>
      <w:r>
        <w:rPr>
          <w:sz w:val="28"/>
          <w:szCs w:val="28"/>
        </w:rPr>
        <w:t xml:space="preserve">ается прописными буквами, шрифт </w:t>
      </w:r>
      <w:r>
        <w:rPr>
          <w:sz w:val="28"/>
          <w:szCs w:val="28"/>
        </w:rPr>
        <w:t xml:space="preserve">– жирный, выравнивание по центру. Ниже через одинарный интервал строчными буквами – инициалы и фамилия автора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(ов). На следующей строке – полное название организации и город, после отступа в 2 интервала – текст.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</w:t>
      </w:r>
      <w:r>
        <w:rPr>
          <w:sz w:val="28"/>
          <w:szCs w:val="28"/>
        </w:rPr>
        <w:t xml:space="preserve">иллюстративных материалов: названия и номера рисунков указываются под рисунками, названия и номера таблиц – над таблицами. Таблицы, схемы, рисунки, графики не должны выходить за пределы полей. Цветовое решение всех иллюстративных материалов – черно-белое.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Организаторы мероприятия: оргкомитет </w:t>
      </w:r>
      <w:r>
        <w:rPr>
          <w:sz w:val="28"/>
          <w:szCs w:val="28"/>
          <w:lang w:val="en-US"/>
        </w:rPr>
        <w:t xml:space="preserve">XXI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 Республиканской </w:t>
      </w:r>
      <w:r>
        <w:rPr>
          <w:sz w:val="28"/>
          <w:szCs w:val="28"/>
        </w:rPr>
        <w:t xml:space="preserve">научно-практической конференции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для  обучающихся общеобразовательных </w:t>
      </w:r>
      <w:r>
        <w:rPr>
          <w:sz w:val="28"/>
          <w:szCs w:val="28"/>
        </w:rPr>
        <w:t xml:space="preserve">организаций и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профессиональных образовательных организаций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. Лениногорск, ул. Морякова, 4</w:t>
      </w:r>
      <w:r>
        <w:rPr>
          <w:sz w:val="28"/>
          <w:szCs w:val="28"/>
          <w:lang w:val="tt-RU"/>
        </w:rPr>
        <w:t xml:space="preserve">. </w:t>
      </w:r>
      <w:r>
        <w:rPr>
          <w:sz w:val="28"/>
          <w:szCs w:val="28"/>
          <w:lang w:val="tt-RU"/>
        </w:rPr>
        <w:t xml:space="preserve">Сайт: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"https://edu.tatar.ru/l-gorsk/sch2" </w:instrText>
      </w:r>
      <w:r>
        <w:rPr>
          <w:sz w:val="28"/>
          <w:szCs w:val="28"/>
        </w:rPr>
        <w:fldChar w:fldCharType="separate"/>
      </w:r>
      <w:r>
        <w:rPr>
          <w:rStyle w:val="871"/>
          <w:color w:val="000000"/>
          <w:sz w:val="28"/>
          <w:szCs w:val="28"/>
          <w:u w:val="none"/>
        </w:rPr>
        <w:t xml:space="preserve">https://edu.tatar.ru/l-gorsk/sch2</w:t>
      </w:r>
      <w:r>
        <w:rPr>
          <w:rStyle w:val="871"/>
          <w:color w:val="000000"/>
          <w:sz w:val="28"/>
          <w:szCs w:val="28"/>
          <w:u w:val="none"/>
        </w:rPr>
        <w:fldChar w:fldCharType="end"/>
      </w:r>
      <w:r>
        <w:rPr>
          <w:rStyle w:val="871"/>
          <w:color w:val="000000"/>
          <w:sz w:val="28"/>
          <w:szCs w:val="28"/>
          <w:u w:val="none"/>
        </w:rPr>
        <w:t xml:space="preserve">  </w:t>
      </w:r>
      <w:r>
        <w:rPr>
          <w:rStyle w:val="871"/>
          <w:color w:val="000000"/>
          <w:sz w:val="28"/>
          <w:szCs w:val="28"/>
          <w:u w:val="none"/>
        </w:rPr>
        <w:t xml:space="preserve">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numPr>
          <w:ilvl w:val="0"/>
          <w:numId w:val="14"/>
        </w:numPr>
        <w:jc w:val="both"/>
        <w:rPr>
          <w:sz w:val="28"/>
          <w:szCs w:val="28"/>
          <w:shd w:val="clear" w:color="auto" w:fill="f7f7f7"/>
        </w:rPr>
      </w:pPr>
      <w:r>
        <w:rPr>
          <w:sz w:val="28"/>
          <w:szCs w:val="28"/>
        </w:rPr>
        <w:t xml:space="preserve">электронная почта</w:t>
      </w:r>
      <w:r>
        <w:rPr>
          <w:sz w:val="28"/>
          <w:szCs w:val="28"/>
        </w:rPr>
        <w:t xml:space="preserve">:  </w:t>
      </w:r>
      <w:r>
        <w:rPr>
          <w:sz w:val="28"/>
          <w:szCs w:val="28"/>
          <w:shd w:val="clear" w:color="auto" w:fill="f7f7f7"/>
          <w:lang w:val="en-US"/>
        </w:rPr>
        <w:fldChar w:fldCharType="begin"/>
      </w:r>
      <w:r>
        <w:rPr>
          <w:sz w:val="28"/>
          <w:szCs w:val="28"/>
          <w:shd w:val="clear" w:color="auto" w:fill="f7f7f7"/>
        </w:rPr>
        <w:instrText xml:space="preserve"> </w:instrText>
      </w:r>
      <w:r>
        <w:rPr>
          <w:sz w:val="28"/>
          <w:szCs w:val="28"/>
          <w:shd w:val="clear" w:color="auto" w:fill="f7f7f7"/>
          <w:lang w:val="en-US"/>
        </w:rPr>
        <w:instrText xml:space="preserve">HYPERLINK</w:instrText>
      </w:r>
      <w:r>
        <w:rPr>
          <w:sz w:val="28"/>
          <w:szCs w:val="28"/>
          <w:shd w:val="clear" w:color="auto" w:fill="f7f7f7"/>
        </w:rPr>
        <w:instrText xml:space="preserve"> "</w:instrText>
      </w:r>
      <w:r>
        <w:rPr>
          <w:sz w:val="28"/>
          <w:szCs w:val="28"/>
          <w:shd w:val="clear" w:color="auto" w:fill="f7f7f7"/>
          <w:lang w:val="en-US"/>
        </w:rPr>
        <w:instrText xml:space="preserve">mailto</w:instrText>
      </w:r>
      <w:r>
        <w:rPr>
          <w:sz w:val="28"/>
          <w:szCs w:val="28"/>
          <w:shd w:val="clear" w:color="auto" w:fill="f7f7f7"/>
        </w:rPr>
        <w:instrText xml:space="preserve">:</w:instrText>
      </w:r>
      <w:r>
        <w:rPr>
          <w:sz w:val="28"/>
          <w:szCs w:val="28"/>
          <w:shd w:val="clear" w:color="auto" w:fill="f7f7f7"/>
          <w:lang w:val="en-US"/>
        </w:rPr>
        <w:instrText xml:space="preserve">npk</w:instrText>
      </w:r>
      <w:r>
        <w:rPr>
          <w:sz w:val="28"/>
          <w:szCs w:val="28"/>
          <w:shd w:val="clear" w:color="auto" w:fill="f7f7f7"/>
        </w:rPr>
        <w:instrText xml:space="preserve">.</w:instrText>
      </w:r>
      <w:r>
        <w:rPr>
          <w:sz w:val="28"/>
          <w:szCs w:val="28"/>
          <w:shd w:val="clear" w:color="auto" w:fill="f7f7f7"/>
          <w:lang w:val="en-US"/>
        </w:rPr>
        <w:instrText xml:space="preserve">moryakova</w:instrText>
      </w:r>
      <w:r>
        <w:rPr>
          <w:sz w:val="28"/>
          <w:szCs w:val="28"/>
          <w:shd w:val="clear" w:color="auto" w:fill="f7f7f7"/>
        </w:rPr>
        <w:instrText xml:space="preserve">.</w:instrText>
      </w:r>
      <w:r>
        <w:rPr>
          <w:sz w:val="28"/>
          <w:szCs w:val="28"/>
          <w:shd w:val="clear" w:color="auto" w:fill="f7f7f7"/>
          <w:lang w:val="en-US"/>
        </w:rPr>
        <w:instrText xml:space="preserve">leninigorsk</w:instrText>
      </w:r>
      <w:r>
        <w:rPr>
          <w:sz w:val="28"/>
          <w:szCs w:val="28"/>
          <w:shd w:val="clear" w:color="auto" w:fill="f7f7f7"/>
        </w:rPr>
        <w:instrText xml:space="preserve">@</w:instrText>
      </w:r>
      <w:r>
        <w:rPr>
          <w:sz w:val="28"/>
          <w:szCs w:val="28"/>
          <w:shd w:val="clear" w:color="auto" w:fill="f7f7f7"/>
          <w:lang w:val="en-US"/>
        </w:rPr>
        <w:instrText xml:space="preserve">mail</w:instrText>
      </w:r>
      <w:r>
        <w:rPr>
          <w:sz w:val="28"/>
          <w:szCs w:val="28"/>
          <w:shd w:val="clear" w:color="auto" w:fill="f7f7f7"/>
        </w:rPr>
        <w:instrText xml:space="preserve">.</w:instrText>
      </w:r>
      <w:r>
        <w:rPr>
          <w:sz w:val="28"/>
          <w:szCs w:val="28"/>
          <w:shd w:val="clear" w:color="auto" w:fill="f7f7f7"/>
          <w:lang w:val="en-US"/>
        </w:rPr>
        <w:instrText xml:space="preserve">ru</w:instrText>
      </w:r>
      <w:r>
        <w:rPr>
          <w:sz w:val="28"/>
          <w:szCs w:val="28"/>
          <w:shd w:val="clear" w:color="auto" w:fill="f7f7f7"/>
        </w:rPr>
        <w:instrText xml:space="preserve">" </w:instrText>
      </w:r>
      <w:r>
        <w:rPr>
          <w:sz w:val="28"/>
          <w:szCs w:val="28"/>
          <w:shd w:val="clear" w:color="auto" w:fill="f7f7f7"/>
          <w:lang w:val="en-US"/>
        </w:rPr>
        <w:fldChar w:fldCharType="separate"/>
      </w:r>
      <w:r>
        <w:rPr>
          <w:rStyle w:val="871"/>
          <w:color w:val="000000"/>
          <w:sz w:val="28"/>
          <w:szCs w:val="28"/>
          <w:u w:val="none"/>
          <w:shd w:val="clear" w:color="auto" w:fill="f7f7f7"/>
          <w:lang w:val="en-US"/>
        </w:rPr>
        <w:t xml:space="preserve">npk</w:t>
      </w:r>
      <w:r>
        <w:rPr>
          <w:rStyle w:val="871"/>
          <w:color w:val="000000"/>
          <w:sz w:val="28"/>
          <w:szCs w:val="28"/>
          <w:u w:val="none"/>
          <w:shd w:val="clear" w:color="auto" w:fill="f7f7f7"/>
        </w:rPr>
        <w:t xml:space="preserve">.</w:t>
      </w:r>
      <w:r>
        <w:rPr>
          <w:rStyle w:val="871"/>
          <w:color w:val="000000"/>
          <w:sz w:val="28"/>
          <w:szCs w:val="28"/>
          <w:u w:val="none"/>
          <w:shd w:val="clear" w:color="auto" w:fill="f7f7f7"/>
          <w:lang w:val="en-US"/>
        </w:rPr>
        <w:t xml:space="preserve">moryakova</w:t>
      </w:r>
      <w:r>
        <w:rPr>
          <w:rStyle w:val="871"/>
          <w:color w:val="000000"/>
          <w:sz w:val="28"/>
          <w:szCs w:val="28"/>
          <w:u w:val="none"/>
          <w:shd w:val="clear" w:color="auto" w:fill="f7f7f7"/>
        </w:rPr>
        <w:t xml:space="preserve">.</w:t>
      </w:r>
      <w:r>
        <w:rPr>
          <w:rStyle w:val="871"/>
          <w:color w:val="000000"/>
          <w:sz w:val="28"/>
          <w:szCs w:val="28"/>
          <w:u w:val="none"/>
          <w:shd w:val="clear" w:color="auto" w:fill="f7f7f7"/>
          <w:lang w:val="en-US"/>
        </w:rPr>
        <w:t xml:space="preserve">leninigorsk</w:t>
      </w:r>
      <w:r>
        <w:rPr>
          <w:rStyle w:val="871"/>
          <w:color w:val="000000"/>
          <w:sz w:val="28"/>
          <w:szCs w:val="28"/>
          <w:u w:val="none"/>
          <w:shd w:val="clear" w:color="auto" w:fill="f7f7f7"/>
        </w:rPr>
        <w:t xml:space="preserve">@</w:t>
      </w:r>
      <w:r>
        <w:rPr>
          <w:rStyle w:val="871"/>
          <w:color w:val="000000"/>
          <w:sz w:val="28"/>
          <w:szCs w:val="28"/>
          <w:u w:val="none"/>
          <w:shd w:val="clear" w:color="auto" w:fill="f7f7f7"/>
          <w:lang w:val="en-US"/>
        </w:rPr>
        <w:t xml:space="preserve">mail</w:t>
      </w:r>
      <w:r>
        <w:rPr>
          <w:rStyle w:val="871"/>
          <w:color w:val="000000"/>
          <w:sz w:val="28"/>
          <w:szCs w:val="28"/>
          <w:u w:val="none"/>
          <w:shd w:val="clear" w:color="auto" w:fill="f7f7f7"/>
        </w:rPr>
        <w:t xml:space="preserve">.</w:t>
      </w:r>
      <w:r>
        <w:rPr>
          <w:rStyle w:val="871"/>
          <w:color w:val="000000"/>
          <w:sz w:val="28"/>
          <w:szCs w:val="28"/>
          <w:u w:val="none"/>
          <w:shd w:val="clear" w:color="auto" w:fill="f7f7f7"/>
          <w:lang w:val="en-US"/>
        </w:rPr>
        <w:t xml:space="preserve">ru</w:t>
      </w:r>
      <w:r>
        <w:rPr>
          <w:sz w:val="28"/>
          <w:szCs w:val="28"/>
          <w:shd w:val="clear" w:color="auto" w:fill="f7f7f7"/>
          <w:lang w:val="en-US"/>
        </w:rPr>
        <w:fldChar w:fldCharType="end"/>
      </w:r>
      <w:r>
        <w:rPr>
          <w:sz w:val="28"/>
          <w:szCs w:val="28"/>
          <w:shd w:val="clear" w:color="auto" w:fill="f7f7f7"/>
        </w:rPr>
        <w:t xml:space="preserve"> </w:t>
      </w:r>
      <w:r>
        <w:rPr>
          <w:sz w:val="28"/>
          <w:szCs w:val="28"/>
          <w:shd w:val="clear" w:color="auto" w:fill="f7f7f7"/>
        </w:rPr>
      </w:r>
      <w:r>
        <w:rPr>
          <w:sz w:val="28"/>
          <w:szCs w:val="28"/>
          <w:shd w:val="clear" w:color="auto" w:fill="f7f7f7"/>
        </w:rPr>
      </w:r>
    </w:p>
    <w:p>
      <w:pPr>
        <w:pStyle w:val="862"/>
        <w:numPr>
          <w:ilvl w:val="0"/>
          <w:numId w:val="14"/>
        </w:numPr>
        <w:ind w:left="142" w:firstLine="142"/>
        <w:jc w:val="both"/>
        <w:tabs>
          <w:tab w:val="clear" w:pos="0" w:leader="none"/>
          <w:tab w:val="num" w:pos="993" w:leader="none"/>
        </w:tabs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Контактное лицо: Галиева Дания Ринатовна, заместитель директора </w:t>
      </w:r>
      <w:r>
        <w:rPr>
          <w:sz w:val="28"/>
          <w:szCs w:val="28"/>
        </w:rPr>
        <w:t xml:space="preserve">МБОУ «СОШ </w:t>
      </w:r>
      <w:r>
        <w:rPr>
          <w:sz w:val="28"/>
          <w:szCs w:val="28"/>
        </w:rPr>
        <w:t xml:space="preserve">№ 2</w:t>
      </w:r>
      <w:r>
        <w:rPr>
          <w:sz w:val="28"/>
          <w:szCs w:val="28"/>
        </w:rPr>
        <w:t xml:space="preserve">» МО «Лениногорский муниципальный район» РТ, 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pStyle w:val="862"/>
        <w:ind w:left="142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8(85595) 5-0</w:t>
      </w:r>
      <w:r>
        <w:rPr>
          <w:sz w:val="28"/>
          <w:szCs w:val="28"/>
          <w:lang w:val="tt-RU"/>
        </w:rPr>
        <w:t xml:space="preserve">3-87, 89871755469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Награждение победителей и участников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13.1. Победители и призеры Конференции награждаются дипломами 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 xml:space="preserve">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 xml:space="preserve">III</w:t>
      </w:r>
      <w:r>
        <w:rPr>
          <w:sz w:val="28"/>
          <w:szCs w:val="28"/>
        </w:rPr>
        <w:t xml:space="preserve"> степени.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Тезисы обучающихся, награжденных дипломами, публикуются в электронном сборнике Тезисов Конференции.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13.2. Участники Конференции получают сер</w:t>
      </w:r>
      <w:r>
        <w:rPr>
          <w:sz w:val="28"/>
          <w:szCs w:val="28"/>
        </w:rPr>
        <w:t xml:space="preserve">тификаты участника Конференции.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Координатор: заместитель директора по учебно-воспитательной работе МБОУ «СОШ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№2» 89871755469 (Галиева Дания Ринатовна)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5386" w:right="0" w:firstLine="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5386" w:right="0" w:firstLine="0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>
        <w:rPr>
          <w:sz w:val="28"/>
          <w:szCs w:val="28"/>
        </w:rPr>
        <w:t xml:space="preserve">XXI</w:t>
      </w:r>
      <w:r>
        <w:rPr>
          <w:sz w:val="28"/>
          <w:szCs w:val="28"/>
        </w:rPr>
        <w:t xml:space="preserve"> Республиканской научно-практической конференции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 для обучающихся общеобразовательных организаций и профессиональных образовательных организаций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</w:t>
      </w:r>
      <w:r>
        <w:rPr>
          <w:sz w:val="28"/>
          <w:szCs w:val="28"/>
        </w:rPr>
        <w:t xml:space="preserve">Конференци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электронном виде)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6"/>
        <w:gridCol w:w="1128"/>
        <w:gridCol w:w="1348"/>
        <w:gridCol w:w="1032"/>
        <w:gridCol w:w="2261"/>
        <w:gridCol w:w="2054"/>
        <w:gridCol w:w="1922"/>
      </w:tblGrid>
      <w:tr>
        <w:tblPrEx/>
        <w:trPr/>
        <w:tc>
          <w:tcPr>
            <w:tcW w:w="1488" w:type="dxa"/>
            <w:vAlign w:val="top"/>
            <w:textDirection w:val="lrTb"/>
            <w:noWrap w:val="false"/>
          </w:tcPr>
          <w:p>
            <w:pPr>
              <w:pStyle w:val="8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п/п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88" w:type="dxa"/>
            <w:vAlign w:val="top"/>
            <w:textDirection w:val="lrTb"/>
            <w:noWrap w:val="false"/>
          </w:tcPr>
          <w:p>
            <w:pPr>
              <w:pStyle w:val="8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Секция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89" w:type="dxa"/>
            <w:vAlign w:val="top"/>
            <w:textDirection w:val="lrTb"/>
            <w:noWrap w:val="false"/>
          </w:tcPr>
          <w:p>
            <w:pPr>
              <w:pStyle w:val="8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89" w:type="dxa"/>
            <w:vAlign w:val="top"/>
            <w:textDirection w:val="lrTb"/>
            <w:noWrap w:val="false"/>
          </w:tcPr>
          <w:p>
            <w:pPr>
              <w:pStyle w:val="8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Класс, курс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89" w:type="dxa"/>
            <w:vAlign w:val="top"/>
            <w:textDirection w:val="lrTb"/>
            <w:noWrap w:val="false"/>
          </w:tcPr>
          <w:p>
            <w:pPr>
              <w:pStyle w:val="8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бразовательно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89" w:type="dxa"/>
            <w:vAlign w:val="top"/>
            <w:textDirection w:val="lrTb"/>
            <w:noWrap w:val="false"/>
          </w:tcPr>
          <w:p>
            <w:pPr>
              <w:pStyle w:val="8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</w:t>
            </w:r>
            <w:r>
              <w:rPr>
                <w:sz w:val="28"/>
                <w:szCs w:val="28"/>
              </w:rPr>
              <w:t xml:space="preserve">ество (последнее – при наличии </w:t>
            </w:r>
            <w:r>
              <w:rPr>
                <w:sz w:val="28"/>
                <w:szCs w:val="28"/>
              </w:rPr>
              <w:t xml:space="preserve">обучающегося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89" w:type="dxa"/>
            <w:vAlign w:val="top"/>
            <w:textDirection w:val="lrTb"/>
            <w:noWrap w:val="false"/>
          </w:tcPr>
          <w:p>
            <w:pPr>
              <w:pStyle w:val="8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(последнее – при наличии</w:t>
            </w:r>
            <w:r>
              <w:rPr>
                <w:sz w:val="28"/>
                <w:szCs w:val="28"/>
              </w:rPr>
              <w:t xml:space="preserve">)  </w:t>
            </w:r>
            <w:r>
              <w:rPr>
                <w:sz w:val="28"/>
                <w:szCs w:val="28"/>
              </w:rPr>
              <w:t xml:space="preserve">руководителя,</w:t>
            </w:r>
            <w:r>
              <w:rPr>
                <w:sz w:val="28"/>
                <w:szCs w:val="28"/>
              </w:rPr>
              <w:t xml:space="preserve"> учителя,</w:t>
            </w:r>
            <w:r>
              <w:rPr>
                <w:sz w:val="28"/>
                <w:szCs w:val="28"/>
              </w:rPr>
              <w:t xml:space="preserve"> адрес электронной почты, телефон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1488" w:type="dxa"/>
            <w:vAlign w:val="top"/>
            <w:textDirection w:val="lrTb"/>
            <w:noWrap w:val="false"/>
          </w:tcPr>
          <w:p>
            <w:pPr>
              <w:pStyle w:val="8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88" w:type="dxa"/>
            <w:vAlign w:val="top"/>
            <w:textDirection w:val="lrTb"/>
            <w:noWrap w:val="false"/>
          </w:tcPr>
          <w:p>
            <w:pPr>
              <w:pStyle w:val="8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89" w:type="dxa"/>
            <w:vAlign w:val="top"/>
            <w:textDirection w:val="lrTb"/>
            <w:noWrap w:val="false"/>
          </w:tcPr>
          <w:p>
            <w:pPr>
              <w:pStyle w:val="8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89" w:type="dxa"/>
            <w:vAlign w:val="top"/>
            <w:textDirection w:val="lrTb"/>
            <w:noWrap w:val="false"/>
          </w:tcPr>
          <w:p>
            <w:pPr>
              <w:pStyle w:val="8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89" w:type="dxa"/>
            <w:vAlign w:val="top"/>
            <w:textDirection w:val="lrTb"/>
            <w:noWrap w:val="false"/>
          </w:tcPr>
          <w:p>
            <w:pPr>
              <w:pStyle w:val="8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89" w:type="dxa"/>
            <w:vAlign w:val="top"/>
            <w:textDirection w:val="lrTb"/>
            <w:noWrap w:val="false"/>
          </w:tcPr>
          <w:p>
            <w:pPr>
              <w:pStyle w:val="8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89" w:type="dxa"/>
            <w:vAlign w:val="top"/>
            <w:textDirection w:val="lrTb"/>
            <w:noWrap w:val="false"/>
          </w:tcPr>
          <w:p>
            <w:pPr>
              <w:pStyle w:val="8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5669" w:right="0" w:firstLine="0"/>
        <w:rPr>
          <w:sz w:val="28"/>
          <w:szCs w:val="28"/>
        </w:rPr>
      </w:pPr>
      <w:r>
        <w:rPr>
          <w:sz w:val="28"/>
          <w:szCs w:val="28"/>
        </w:rPr>
        <w:t xml:space="preserve">Приложение №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 w:right="0" w:firstLine="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Положению о </w:t>
      </w:r>
      <w:r>
        <w:rPr>
          <w:sz w:val="28"/>
          <w:szCs w:val="28"/>
        </w:rPr>
        <w:t xml:space="preserve">XXI</w:t>
      </w:r>
      <w:r>
        <w:rPr>
          <w:sz w:val="28"/>
          <w:szCs w:val="28"/>
        </w:rPr>
        <w:t xml:space="preserve"> Республиканской научно-практической конференции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 для обучающихся общеобразовательных организаций и профессиональных образовательных организаций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Требования к </w:t>
      </w:r>
      <w:r>
        <w:rPr>
          <w:color w:val="000000"/>
          <w:sz w:val="28"/>
          <w:szCs w:val="28"/>
        </w:rPr>
        <w:t xml:space="preserve">тезисам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6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</w:t>
      </w:r>
      <w:r>
        <w:rPr>
          <w:sz w:val="28"/>
          <w:szCs w:val="28"/>
        </w:rPr>
        <w:t xml:space="preserve">Тезисы представляются в двух экземплярах (один экземпляр тезисов передается вместе с исследовательской работой в экспертную комиссию на конкурс, второй – остается в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ргкомитете).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</w:t>
      </w:r>
      <w:r>
        <w:rPr>
          <w:sz w:val="28"/>
          <w:szCs w:val="28"/>
        </w:rPr>
        <w:t xml:space="preserve">В тезисах в предельно краткой форме излагаются основные положения исследовательской работы без подробных комментариев и без указания списка литературы.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Текст тезисов тщательно редактируется и не должен содержать ошибок.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Объем текста тезисов – 1 печатная страница формата А4.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Правила форматирования: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a) Текст тезисо</w:t>
      </w:r>
      <w:r>
        <w:rPr>
          <w:sz w:val="28"/>
          <w:szCs w:val="28"/>
        </w:rPr>
        <w:t xml:space="preserve">в печатается шрифтом Times New Roman (12 пунктов), с полями: левое – 2 см (20 мм), правое – 2 см (20 мм), верхнее – 2 см (20 мм), нижнее – 2 см (20 мм). Выравнивание текста – по ширине листа. Междустрочный интервал – одинарный. Контуры полей не наносятся.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b) Отступ первой строки абзаца составляет 1 см.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c) </w:t>
      </w:r>
      <w:r>
        <w:rPr>
          <w:sz w:val="28"/>
          <w:szCs w:val="28"/>
        </w:rPr>
        <w:t xml:space="preserve">Заголовок тезисов печатается шрифтом Times New Roman (12 пунктов, полужирный) и выравнивается по центру. Точка в конце заголовка, расположенного по середине строки, не ставится (см. образец).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d) </w:t>
      </w:r>
      <w:r>
        <w:rPr>
          <w:sz w:val="28"/>
          <w:szCs w:val="28"/>
        </w:rPr>
        <w:t xml:space="preserve">Фамилия, имя авторов (указывается полностью) и класс печатаются шрифтом Times New Roman (12 пунктов, обычный). Направляющая организация, регион, город (село), фамилия научного руководителя (учителя) печатаются шрифтом Times New Roman (12 пунктов, ку</w:t>
      </w:r>
      <w:r>
        <w:rPr>
          <w:sz w:val="28"/>
          <w:szCs w:val="28"/>
        </w:rPr>
        <w:t xml:space="preserve">рсив) и выравниваются по центру</w:t>
      </w:r>
      <w:r>
        <w:rPr>
          <w:sz w:val="28"/>
          <w:szCs w:val="28"/>
        </w:rPr>
        <w:t xml:space="preserve">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e) </w:t>
      </w:r>
      <w:r>
        <w:rPr>
          <w:sz w:val="28"/>
          <w:szCs w:val="28"/>
        </w:rPr>
        <w:t xml:space="preserve">Расстояние между заголовком тезисов, фамилиями авторов</w:t>
      </w:r>
      <w:r>
        <w:rPr>
          <w:sz w:val="28"/>
          <w:szCs w:val="28"/>
        </w:rPr>
        <w:t xml:space="preserve">, направляющей организацией, данными о научном руководителе и последующим текстом устанавливается равным одному интервалу. Направляющая организация и данные о научном руководителе указываются на разных строках без пропуска строки между ними (см. образец).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</w:t>
      </w:r>
      <w:r>
        <w:rPr>
          <w:sz w:val="28"/>
          <w:szCs w:val="28"/>
        </w:rPr>
        <w:t xml:space="preserve">Текст тезисов печатается на одной стороне белой бумаги формата А4 (стандартный машинописный лист).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Образец: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Электромагнитные поля и экология человека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Иванов Кирилл, 10 класс, Сидоров Максим, 11 класс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Детский эколого-биологический центр, г.Ульяновск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862"/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Научные руководители – п.д.о. I категории Макарова И.Н., 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862"/>
        <w:ind w:firstLine="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к.б.н., доцент УлГУ Носова А.А.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862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 протяжении миллиардов лет естественное магнитное поле земли, являясь первичным периодическим экологическим фактором, постоянно воздействовало на состояние экосистем. В ходе эволюционного развития структурно-функциональная организация экосистем адаптирова</w:t>
      </w:r>
      <w:r>
        <w:rPr>
          <w:sz w:val="28"/>
          <w:szCs w:val="28"/>
        </w:rPr>
        <w:t xml:space="preserve">лась к естественному фону. . 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Приложение №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>
        <w:rPr>
          <w:sz w:val="28"/>
          <w:szCs w:val="28"/>
        </w:rPr>
        <w:t xml:space="preserve">XXI</w:t>
      </w:r>
      <w:r>
        <w:rPr>
          <w:sz w:val="28"/>
          <w:szCs w:val="28"/>
        </w:rPr>
        <w:t xml:space="preserve"> Республиканской научно-практической конференции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 для обучающихся общеобразовательных организаций и профессиональных образовательных организаций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Требования к </w:t>
      </w:r>
      <w:r>
        <w:rPr>
          <w:sz w:val="28"/>
          <w:szCs w:val="28"/>
        </w:rPr>
        <w:t xml:space="preserve">содержанию </w:t>
      </w:r>
      <w:r>
        <w:rPr>
          <w:sz w:val="28"/>
          <w:szCs w:val="28"/>
        </w:rPr>
        <w:t xml:space="preserve">исследовательской работы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Конференции участники должны представить исследовательскую работу. Работа, представленная</w:t>
      </w:r>
      <w:r>
        <w:rPr>
          <w:sz w:val="28"/>
          <w:szCs w:val="28"/>
        </w:rPr>
        <w:t xml:space="preserve"> в комиссию по оценке работ</w:t>
      </w:r>
      <w:r>
        <w:rPr>
          <w:sz w:val="28"/>
          <w:szCs w:val="28"/>
        </w:rPr>
        <w:t xml:space="preserve">, должна иметь характер научного исследования, центром которого является проблема.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Исследовательская работа должна содержать:</w:t>
      </w:r>
      <w:r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главление</w:t>
      </w:r>
      <w:r>
        <w:rPr>
          <w:sz w:val="28"/>
          <w:szCs w:val="28"/>
        </w:rPr>
        <w:t xml:space="preserve">, в</w:t>
      </w:r>
      <w:r>
        <w:rPr>
          <w:sz w:val="28"/>
          <w:szCs w:val="28"/>
        </w:rPr>
        <w:t xml:space="preserve">ведение</w:t>
      </w:r>
      <w:r>
        <w:rPr>
          <w:sz w:val="28"/>
          <w:szCs w:val="28"/>
        </w:rPr>
        <w:t xml:space="preserve">, о</w:t>
      </w:r>
      <w:r>
        <w:rPr>
          <w:sz w:val="28"/>
          <w:szCs w:val="28"/>
        </w:rPr>
        <w:t xml:space="preserve">сновную часть</w:t>
      </w:r>
      <w:r>
        <w:rPr>
          <w:sz w:val="28"/>
          <w:szCs w:val="28"/>
        </w:rPr>
        <w:t xml:space="preserve">, з</w:t>
      </w:r>
      <w:r>
        <w:rPr>
          <w:sz w:val="28"/>
          <w:szCs w:val="28"/>
        </w:rPr>
        <w:t xml:space="preserve">аключение</w:t>
      </w:r>
      <w:r>
        <w:rPr>
          <w:sz w:val="28"/>
          <w:szCs w:val="28"/>
        </w:rPr>
        <w:t xml:space="preserve">, с</w:t>
      </w:r>
      <w:r>
        <w:rPr>
          <w:sz w:val="28"/>
          <w:szCs w:val="28"/>
        </w:rPr>
        <w:t xml:space="preserve">писок использованных источников и литературы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оглавление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 должно включать в себя формулировку постановки проб</w:t>
      </w:r>
      <w:r>
        <w:rPr>
          <w:sz w:val="28"/>
          <w:szCs w:val="28"/>
        </w:rPr>
        <w:t xml:space="preserve">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часть должна содержать информацию, собранную и обработанную исследователем, а именно описание основных рассматр</w:t>
      </w:r>
      <w:r>
        <w:rPr>
          <w:sz w:val="28"/>
          <w:szCs w:val="28"/>
        </w:rPr>
        <w:t xml:space="preserve">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часть делится на главы.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список литературы заносятся публикации, издания и источники, использованные автором. Информация о каждом издании должна вкл</w:t>
      </w:r>
      <w:r>
        <w:rPr>
          <w:sz w:val="28"/>
          <w:szCs w:val="28"/>
        </w:rPr>
        <w:t xml:space="preserve">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Исследовательская 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 работы печатается на стандартных страницах белой бумаги формата А4 (210 х 297 мм, горизонталь - 210 мм.). Шрифт - типа </w:t>
      </w:r>
      <w:r>
        <w:rPr>
          <w:sz w:val="28"/>
          <w:szCs w:val="28"/>
          <w:lang w:val="en-US"/>
        </w:rPr>
        <w:t xml:space="preserve"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Roman</w:t>
      </w:r>
      <w:r>
        <w:rPr>
          <w:sz w:val="28"/>
          <w:szCs w:val="28"/>
        </w:rPr>
        <w:t xml:space="preserve">, размер 12 пт, межстрочный интервал 1,5. Поля: слева -25 мм, справа - 10 мм, снизу и сверху - 20 мм. Допустимо рукописное оформление отдельных фрагментов (формулы, чертежный материал и т.п.), которые в</w:t>
      </w:r>
      <w:r>
        <w:rPr>
          <w:sz w:val="28"/>
          <w:szCs w:val="28"/>
        </w:rPr>
        <w:t xml:space="preserve">ыполняются черной пастой (тушью). Текст работы - не более 25 страниц (не считая титульного листа). Приложения могут занимать до 10 дополнительных страниц. Приложения должны быть пронумерованы и озаглавлены. В тексте работы на них должны содержаться ссылки.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Исследовательская работа и приложения скрепляются вместе с титульным листом (рекомендуются скоросшиватели и пластиковые файлы).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Компьютерные программы, содержащиеся в работах, должны сопровождаться: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описанием задачи;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изложением алгоритма решения задачи, программного интерфейса;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описанием программы, входных и выходных данных, распечатки программы и результатов;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исполняемым программным модулем на электронных носителях для </w:t>
      </w:r>
      <w:r>
        <w:rPr>
          <w:sz w:val="28"/>
          <w:szCs w:val="28"/>
          <w:lang w:val="en-US"/>
        </w:rPr>
        <w:t xml:space="preserve">IBM</w:t>
      </w:r>
      <w:r>
        <w:rPr>
          <w:sz w:val="28"/>
          <w:szCs w:val="28"/>
        </w:rPr>
        <w:t xml:space="preserve">/</w:t>
      </w:r>
      <w:r>
        <w:rPr>
          <w:sz w:val="28"/>
          <w:szCs w:val="28"/>
          <w:lang w:val="en-US"/>
        </w:rPr>
        <w:t xml:space="preserve">PC</w:t>
      </w:r>
      <w:r>
        <w:rPr>
          <w:sz w:val="28"/>
          <w:szCs w:val="28"/>
        </w:rPr>
        <w:t xml:space="preserve"> совместимых компьютеров;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анализом результатов численного решения задачи;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описанием характеристик вычислительной техники, на которой решалась задача.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на секции «Английский язык», «Страноведение» принимаются только на русском языке. Защита может происходить на иностранном языке (по желанию).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представления работы с нарушением настоящего Положения Оргкомитет имеет право отклонить эту работу от рассмотрения и участия.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Приложение №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>
        <w:rPr>
          <w:sz w:val="28"/>
          <w:szCs w:val="28"/>
        </w:rPr>
        <w:t xml:space="preserve">XXI</w:t>
      </w:r>
      <w:r>
        <w:rPr>
          <w:sz w:val="28"/>
          <w:szCs w:val="28"/>
        </w:rPr>
        <w:t xml:space="preserve"> Республиканской научно-практической конференции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 для обучающихся общеобразовательных организаций и профессиональных образовательных организаций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(для несовершеннолетних)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694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62"/>
        <w:contextualSpacing/>
        <w:ind w:left="48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Министерству образования и науки Республики Татарстан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contextualSpacing/>
        <w:ind w:left="48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contextualSpacing/>
        <w:ind w:left="48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Муниципальному бюджетному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общеобразовательному учреждению «Сред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няя общеобразовательная школа №2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муниципального образования «Лениногорский муниципальный район» Республики Татарстан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РТ,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Лениногорск, ул.Морякова, д.4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ИНН:1649006991; ОГРН:2021601978584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52428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0" t="0" r="0" b="0"/>
                <wp:wrapNone/>
                <wp:docPr id="4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2983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524288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41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0" t="0" r="0" b="0"/>
                <wp:wrapNone/>
                <wp:docPr id="5" name="_x0000_s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01751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251658241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номер телефона, адрес электронной почты или почтовый адрес: 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709"/>
        <w:jc w:val="center"/>
        <w:tabs>
          <w:tab w:val="center" w:pos="545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42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6" name="_x0000_s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251658242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0"/>
          <w:szCs w:val="20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43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7" name="_x0000_s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z-index:251658243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center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4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8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25165824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4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0" b="0"/>
                <wp:wrapNone/>
                <wp:docPr id="9" name="_x0000_s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251658246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709"/>
        <w:jc w:val="center"/>
        <w:rPr>
          <w:sz w:val="28"/>
          <w:szCs w:val="28"/>
        </w:rPr>
      </w:pPr>
      <w:r>
        <w:rPr>
          <w:sz w:val="20"/>
          <w:szCs w:val="20"/>
        </w:rPr>
        <w:t xml:space="preserve">(фамилия, имя, отчество (последнее-при наличии) субъекта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участия в </w:t>
      </w:r>
      <w:r>
        <w:rPr>
          <w:sz w:val="28"/>
          <w:szCs w:val="28"/>
        </w:rPr>
        <w:t xml:space="preserve">XXI</w:t>
      </w:r>
      <w:r>
        <w:rPr>
          <w:sz w:val="28"/>
          <w:szCs w:val="28"/>
        </w:rPr>
        <w:t xml:space="preserve"> Республиканской научно-практической конференции обучающихся общеобразовательных учреждений, средних специальных учебных заведений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  <w:tab/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1) персональные данные: фамилия, </w:t>
      </w:r>
      <w:r>
        <w:rPr>
          <w:sz w:val="28"/>
          <w:szCs w:val="28"/>
          <w:u w:val="single"/>
        </w:rPr>
        <w:t xml:space="preserve">имя, отчество (при наличии) ребенка, контактный телефон, адрес, адрес электронной почты, возраст, школа, класс;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86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данных: </w:t>
      </w:r>
      <w:r>
        <w:rPr>
          <w:sz w:val="28"/>
          <w:szCs w:val="28"/>
          <w:u w:val="single"/>
        </w:rPr>
        <w:t xml:space="preserve">не предоставляются;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биометрические персональные данные: </w:t>
      </w:r>
      <w:r>
        <w:rPr>
          <w:sz w:val="28"/>
          <w:szCs w:val="28"/>
          <w:u w:val="single"/>
        </w:rPr>
        <w:t xml:space="preserve">не предоставляются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47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0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style="position:absolute;z-index:251658247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49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11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z-index:251658249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4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12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25165824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142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ФИО </w:t>
      </w:r>
      <w:r>
        <w:rPr>
          <w:sz w:val="20"/>
          <w:szCs w:val="20"/>
        </w:rPr>
        <w:t xml:space="preserve"> (последнее – при наличии)               </w: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(подпись)                    (дата)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142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родителя (законного представителя)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 xml:space="preserve">  субъекта персональных данных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62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62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609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5528" w:right="0" w:firstLine="0"/>
        <w:rPr>
          <w:sz w:val="28"/>
          <w:szCs w:val="28"/>
        </w:rPr>
      </w:pPr>
      <w:r>
        <w:rPr>
          <w:sz w:val="28"/>
          <w:szCs w:val="28"/>
        </w:rPr>
        <w:t xml:space="preserve">Приложение №5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5528" w:right="0" w:firstLine="0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>
        <w:rPr>
          <w:sz w:val="28"/>
          <w:szCs w:val="28"/>
        </w:rPr>
        <w:t xml:space="preserve">XXI</w:t>
      </w:r>
      <w:r>
        <w:rPr>
          <w:sz w:val="28"/>
          <w:szCs w:val="28"/>
        </w:rPr>
        <w:t xml:space="preserve"> Республиканской научно-практической конференции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 для обучающихся общеобразовательных организаций и профессиональных образовательных организаций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5528" w:right="0" w:firstLine="0"/>
        <w:rPr>
          <w:sz w:val="28"/>
          <w:szCs w:val="28"/>
        </w:rPr>
      </w:pPr>
      <w:r>
        <w:rPr>
          <w:sz w:val="28"/>
          <w:szCs w:val="28"/>
        </w:rPr>
        <w:t xml:space="preserve">(для совершеннолетних)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contextualSpacing/>
        <w:ind w:left="48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Министерству образования и науки Республики Татарстан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contextualSpacing/>
        <w:ind w:left="48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contextualSpacing/>
        <w:ind w:left="48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95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Муниципальному бюджетному общеобразовательному учреждению «Средняя общеобразовательная школа №2» муниципального образования «Лениногорский муниципальный район» Республики Татарстан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РТ, г.Лениногорск, ул.Морякова, д.4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ИНН:1649006991; ОГРН:2021601978584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5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0" t="0" r="0" b="0"/>
                <wp:wrapNone/>
                <wp:docPr id="13" name="_x0000_s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2983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style="position:absolute;z-index:251658258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59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0" t="0" r="0" b="0"/>
                <wp:wrapNone/>
                <wp:docPr id="14" name="_x0000_s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01751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style="position:absolute;z-index:251658259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ind w:left="48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номер телефона, адрес электронной почты 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почтовый адр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ес: 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62"/>
        <w:jc w:val="center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Согласие на обработку персональных данных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5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15" name="_x0000_s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style="position:absolute;z-index:251658250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bCs/>
          <w:sz w:val="28"/>
          <w:szCs w:val="28"/>
        </w:rPr>
        <w:t xml:space="preserve">Я,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0"/>
          <w:szCs w:val="20"/>
        </w:rPr>
        <w:t xml:space="preserve">(фамилия, имя, отчество (последнее-при наличии) субъекта персональных данных)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51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16" name="_x0000_s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5" style="position:absolute;z-index:251658251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0"/>
          <w:szCs w:val="20"/>
        </w:rPr>
        <w:t xml:space="preserve">(документ, удостоверяющий личность субъекта персональных данных)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5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17" name="_x0000_s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style="position:absolute;z-index:251658252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5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0" b="0"/>
                <wp:wrapNone/>
                <wp:docPr id="18" name="_x0000_s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7" style="position:absolute;z-index:251658254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(фамилия, имя, отчество (последнее-при наличии) субъекта персональных данных)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 целью участия в </w:t>
      </w:r>
      <w:r>
        <w:rPr>
          <w:sz w:val="28"/>
          <w:szCs w:val="28"/>
        </w:rPr>
        <w:t xml:space="preserve">XXI</w:t>
      </w:r>
      <w:r>
        <w:rPr>
          <w:sz w:val="28"/>
          <w:szCs w:val="28"/>
        </w:rPr>
        <w:t xml:space="preserve"> Республиканской научно-практической конференции обучающихся общеобразовательных учреждений, средних специальных учебных заведений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Перечень обрабатываемых персональных данных: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1) персональные данные: фамилия, </w:t>
      </w:r>
      <w:r>
        <w:rPr>
          <w:bCs/>
          <w:sz w:val="28"/>
          <w:szCs w:val="28"/>
          <w:u w:val="single"/>
        </w:rPr>
        <w:t xml:space="preserve">имя, отчество (при наличии), контактный телефон, адрес, адрес электронной почты, возраст, школа, класс;</w:t>
      </w:r>
      <w:r>
        <w:rPr>
          <w:bCs/>
          <w:sz w:val="28"/>
          <w:szCs w:val="28"/>
          <w:u w:val="single"/>
        </w:rPr>
      </w:r>
      <w:r>
        <w:rPr>
          <w:bCs/>
          <w:sz w:val="28"/>
          <w:szCs w:val="28"/>
          <w:u w:val="single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специальные категории персональных данных: </w:t>
      </w:r>
      <w:r>
        <w:rPr>
          <w:bCs/>
          <w:sz w:val="28"/>
          <w:szCs w:val="28"/>
          <w:u w:val="single"/>
        </w:rPr>
        <w:t xml:space="preserve">не предоставляются;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 биометрические персональные данные: </w:t>
      </w:r>
      <w:r>
        <w:rPr>
          <w:bCs/>
          <w:sz w:val="28"/>
          <w:szCs w:val="28"/>
          <w:u w:val="single"/>
        </w:rPr>
        <w:t xml:space="preserve">не предоставляются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bCs/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55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9" name="_x0000_s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style="position:absolute;z-index:251658255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57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20" name="_x0000_s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9" style="position:absolute;z-index:251658257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0" distL="114300" distR="114300" simplePos="0" relativeHeight="25165825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21" name="_x0000_s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0" o:spid="_x0000_s20" style="position:absolute;z-index:251658256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-169093.2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>
        <w:rPr>
          <w:bCs/>
          <w:sz w:val="20"/>
          <w:szCs w:val="20"/>
        </w:rPr>
        <w:t xml:space="preserve">           ФИО </w:t>
      </w:r>
      <w:r>
        <w:rPr>
          <w:bCs/>
          <w:sz w:val="20"/>
          <w:szCs w:val="20"/>
        </w:rPr>
        <w:t xml:space="preserve">(последнее </w:t>
      </w:r>
      <w:r>
        <w:rPr>
          <w:bCs/>
          <w:sz w:val="20"/>
          <w:szCs w:val="20"/>
        </w:rPr>
        <w:t xml:space="preserve">– при наличии)           </w:t>
      </w:r>
      <w:r>
        <w:rPr>
          <w:bCs/>
          <w:sz w:val="20"/>
          <w:szCs w:val="20"/>
        </w:rPr>
        <w:t xml:space="preserve">(подпись)</w:t>
        <w:tab/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ab/>
        <w:t xml:space="preserve"> 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(дата)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jc w:val="both"/>
        <w:tabs>
          <w:tab w:val="left" w:pos="834" w:leader="none"/>
          <w:tab w:val="left" w:pos="4138" w:leader="none"/>
        </w:tabs>
        <w:rPr>
          <w:bCs/>
          <w:sz w:val="28"/>
          <w:szCs w:val="28"/>
        </w:rPr>
      </w:pPr>
      <w:r>
        <w:rPr>
          <w:bCs/>
          <w:sz w:val="20"/>
          <w:szCs w:val="20"/>
        </w:rPr>
        <w:t xml:space="preserve">               субъекта персональных данных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2"/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p>
      <w:pPr>
        <w:pStyle w:val="862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  <w:r>
        <w:rPr>
          <w:color w:val="00000a"/>
          <w:sz w:val="28"/>
          <w:szCs w:val="28"/>
        </w:rPr>
      </w:r>
    </w:p>
    <w:tbl>
      <w:tblPr>
        <w:tblW w:w="10636" w:type="dxa"/>
        <w:tblInd w:w="-18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2"/>
        <w:gridCol w:w="10432"/>
      </w:tblGrid>
      <w:tr>
        <w:tblPrEx/>
        <w:trPr>
          <w:trHeight w:val="864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30" w:type="dxa"/>
            <w:vAlign w:val="top"/>
            <w:textDirection w:val="lrTb"/>
            <w:noWrap w:val="false"/>
          </w:tcPr>
          <w:p>
            <w:pPr>
              <w:pStyle w:val="862"/>
              <w:ind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06" w:type="dxa"/>
            <w:vAlign w:val="top"/>
            <w:textDirection w:val="lrTb"/>
            <w:noWrap w:val="false"/>
          </w:tcPr>
          <w:p>
            <w:pPr>
              <w:pStyle w:val="862"/>
              <w:ind w:left="5791" w:right="-250" w:hanging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5791" w:right="-250" w:hanging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  <w:t xml:space="preserve"> Положению </w:t>
            </w:r>
            <w:r>
              <w:rPr>
                <w:sz w:val="28"/>
                <w:szCs w:val="28"/>
              </w:rPr>
              <w:t xml:space="preserve">о проведении  </w:t>
            </w:r>
            <w:r>
              <w:rPr>
                <w:sz w:val="28"/>
                <w:szCs w:val="28"/>
              </w:rPr>
              <w:t xml:space="preserve">XXI</w:t>
            </w:r>
            <w:r>
              <w:rPr>
                <w:sz w:val="28"/>
                <w:szCs w:val="28"/>
              </w:rPr>
              <w:t xml:space="preserve"> Республиканской научно-практической конференции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left="5791" w:right="-250" w:hanging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</w:t>
            </w:r>
            <w:r>
              <w:rPr>
                <w:sz w:val="28"/>
                <w:szCs w:val="28"/>
              </w:rPr>
              <w:t xml:space="preserve">ни М.Н.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Морякова для обучающихся </w:t>
            </w:r>
            <w:r>
              <w:rPr>
                <w:sz w:val="28"/>
                <w:szCs w:val="28"/>
              </w:rPr>
              <w:t xml:space="preserve">общеобразовательных</w:t>
            </w:r>
            <w:r>
              <w:rPr>
                <w:sz w:val="28"/>
                <w:szCs w:val="28"/>
              </w:rPr>
              <w:t xml:space="preserve"> организаций и профессиональных </w:t>
            </w:r>
            <w:r>
              <w:rPr>
                <w:sz w:val="28"/>
                <w:szCs w:val="28"/>
              </w:rPr>
              <w:t xml:space="preserve">образовательных организаций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left="5791" w:right="-29" w:hanging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2"/>
              <w:ind w:firstLine="567"/>
              <w:jc w:val="center"/>
              <w:spacing w:after="0"/>
              <w:rPr>
                <w:bCs/>
                <w:sz w:val="28"/>
                <w:szCs w:val="28"/>
              </w:rPr>
              <w:outlineLvl w:val="0"/>
            </w:pPr>
            <w:r>
              <w:rPr>
                <w:bCs/>
                <w:sz w:val="28"/>
                <w:szCs w:val="28"/>
              </w:rPr>
              <w:t xml:space="preserve">Образец оформления заявки на участие в Круглом столе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92"/>
              <w:ind w:firstLine="567"/>
              <w:jc w:val="center"/>
              <w:spacing w:after="0"/>
              <w:rPr>
                <w:bCs/>
                <w:sz w:val="28"/>
                <w:szCs w:val="28"/>
              </w:rPr>
              <w:outlineLvl w:val="0"/>
            </w:pPr>
            <w:r>
              <w:rPr>
                <w:sz w:val="28"/>
                <w:szCs w:val="28"/>
              </w:rPr>
              <w:t xml:space="preserve">«Роль научно-исследовательской работы в развитии творческого и интеллек</w:t>
            </w:r>
            <w:r>
              <w:rPr>
                <w:sz w:val="28"/>
                <w:szCs w:val="28"/>
              </w:rPr>
              <w:t xml:space="preserve">туального потенциала учащегося</w:t>
            </w:r>
            <w:r>
              <w:rPr>
                <w:bCs/>
                <w:sz w:val="28"/>
                <w:szCs w:val="28"/>
              </w:rPr>
              <w:t xml:space="preserve">»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92"/>
              <w:ind w:firstLine="567"/>
              <w:jc w:val="center"/>
              <w:spacing w:after="0"/>
              <w:rPr>
                <w:bCs/>
                <w:sz w:val="28"/>
                <w:szCs w:val="28"/>
              </w:rPr>
              <w:outlineLvl w:val="0"/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tbl>
            <w:tblPr>
              <w:tblW w:w="10206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2461"/>
              <w:gridCol w:w="1766"/>
              <w:gridCol w:w="1074"/>
              <w:gridCol w:w="1545"/>
              <w:gridCol w:w="1247"/>
              <w:gridCol w:w="2113"/>
            </w:tblGrid>
            <w:tr>
              <w:tblPrEx/>
              <w:trPr/>
              <w:tc>
                <w:tcPr>
                  <w:tcW w:w="2461" w:type="dxa"/>
                  <w:vAlign w:val="top"/>
                  <w:textDirection w:val="lrTb"/>
                  <w:noWrap w:val="false"/>
                </w:tcPr>
                <w:p>
                  <w:pPr>
                    <w:pStyle w:val="892"/>
                    <w:jc w:val="center"/>
                    <w:spacing w:after="0"/>
                    <w:rPr>
                      <w:bCs/>
                      <w:sz w:val="28"/>
                      <w:szCs w:val="28"/>
                    </w:rPr>
                    <w:outlineLvl w:val="0"/>
                  </w:pPr>
                  <w:r>
                    <w:rPr>
                      <w:bCs/>
                      <w:sz w:val="28"/>
                      <w:szCs w:val="28"/>
                    </w:rPr>
                    <w:t xml:space="preserve">Ф.И.О. (полностью последнее при наличии)</w:t>
                  </w: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</w:p>
              </w:tc>
              <w:tc>
                <w:tcPr>
                  <w:tcW w:w="1766" w:type="dxa"/>
                  <w:vAlign w:val="top"/>
                  <w:textDirection w:val="lrTb"/>
                  <w:noWrap w:val="false"/>
                </w:tcPr>
                <w:p>
                  <w:pPr>
                    <w:pStyle w:val="892"/>
                    <w:jc w:val="center"/>
                    <w:spacing w:after="0"/>
                    <w:rPr>
                      <w:bCs/>
                      <w:sz w:val="28"/>
                      <w:szCs w:val="28"/>
                    </w:rPr>
                    <w:outlineLvl w:val="0"/>
                  </w:pPr>
                  <w:r>
                    <w:rPr>
                      <w:bCs/>
                      <w:sz w:val="28"/>
                      <w:szCs w:val="28"/>
                    </w:rPr>
                    <w:t xml:space="preserve">Тема выступления</w:t>
                  </w: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</w:p>
              </w:tc>
              <w:tc>
                <w:tcPr>
                  <w:tcW w:w="1074" w:type="dxa"/>
                  <w:vAlign w:val="top"/>
                  <w:textDirection w:val="lrTb"/>
                  <w:noWrap w:val="false"/>
                </w:tcPr>
                <w:p>
                  <w:pPr>
                    <w:pStyle w:val="892"/>
                    <w:jc w:val="center"/>
                    <w:spacing w:after="0"/>
                    <w:rPr>
                      <w:bCs/>
                      <w:sz w:val="28"/>
                      <w:szCs w:val="28"/>
                    </w:rPr>
                    <w:outlineLvl w:val="0"/>
                  </w:pPr>
                  <w:r>
                    <w:rPr>
                      <w:bCs/>
                      <w:sz w:val="28"/>
                      <w:szCs w:val="28"/>
                    </w:rPr>
                    <w:t xml:space="preserve">Место работы</w:t>
                  </w: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</w:p>
              </w:tc>
              <w:tc>
                <w:tcPr>
                  <w:tcW w:w="1545" w:type="dxa"/>
                  <w:vAlign w:val="top"/>
                  <w:textDirection w:val="lrTb"/>
                  <w:noWrap w:val="false"/>
                </w:tcPr>
                <w:p>
                  <w:pPr>
                    <w:pStyle w:val="892"/>
                    <w:jc w:val="center"/>
                    <w:spacing w:after="0"/>
                    <w:rPr>
                      <w:bCs/>
                      <w:sz w:val="28"/>
                      <w:szCs w:val="28"/>
                    </w:rPr>
                    <w:outlineLvl w:val="0"/>
                  </w:pPr>
                  <w:r>
                    <w:rPr>
                      <w:bCs/>
                      <w:sz w:val="28"/>
                      <w:szCs w:val="28"/>
                    </w:rPr>
                    <w:t xml:space="preserve">Должность</w:t>
                  </w: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</w:p>
              </w:tc>
              <w:tc>
                <w:tcPr>
                  <w:tcW w:w="1247" w:type="dxa"/>
                  <w:vAlign w:val="top"/>
                  <w:textDirection w:val="lrTb"/>
                  <w:noWrap w:val="false"/>
                </w:tcPr>
                <w:p>
                  <w:pPr>
                    <w:pStyle w:val="892"/>
                    <w:jc w:val="center"/>
                    <w:spacing w:after="0"/>
                    <w:rPr>
                      <w:bCs/>
                      <w:sz w:val="28"/>
                      <w:szCs w:val="28"/>
                    </w:rPr>
                    <w:outlineLvl w:val="0"/>
                  </w:pPr>
                  <w:r>
                    <w:rPr>
                      <w:bCs/>
                      <w:sz w:val="28"/>
                      <w:szCs w:val="28"/>
                    </w:rPr>
                    <w:t xml:space="preserve">Телефон</w:t>
                  </w: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</w:p>
              </w:tc>
              <w:tc>
                <w:tcPr>
                  <w:tcW w:w="2113" w:type="dxa"/>
                  <w:vAlign w:val="top"/>
                  <w:textDirection w:val="lrTb"/>
                  <w:noWrap w:val="false"/>
                </w:tcPr>
                <w:p>
                  <w:pPr>
                    <w:pStyle w:val="892"/>
                    <w:jc w:val="center"/>
                    <w:spacing w:after="0"/>
                    <w:rPr>
                      <w:bCs/>
                      <w:sz w:val="28"/>
                      <w:szCs w:val="28"/>
                    </w:rPr>
                    <w:outlineLvl w:val="0"/>
                  </w:pPr>
                  <w:r>
                    <w:rPr>
                      <w:sz w:val="28"/>
                      <w:szCs w:val="28"/>
                    </w:rPr>
                    <w:t xml:space="preserve">Электронная почта</w:t>
                  </w: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</w:p>
              </w:tc>
            </w:tr>
            <w:tr>
              <w:tblPrEx/>
              <w:trPr/>
              <w:tc>
                <w:tcPr>
                  <w:tcW w:w="2461" w:type="dxa"/>
                  <w:vAlign w:val="top"/>
                  <w:textDirection w:val="lrTb"/>
                  <w:noWrap w:val="false"/>
                </w:tcPr>
                <w:p>
                  <w:pPr>
                    <w:pStyle w:val="892"/>
                    <w:jc w:val="center"/>
                    <w:spacing w:after="0"/>
                    <w:rPr>
                      <w:bCs/>
                      <w:sz w:val="28"/>
                      <w:szCs w:val="28"/>
                    </w:rPr>
                    <w:outlineLvl w:val="0"/>
                  </w:pP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</w:p>
              </w:tc>
              <w:tc>
                <w:tcPr>
                  <w:tcW w:w="1766" w:type="dxa"/>
                  <w:vAlign w:val="top"/>
                  <w:textDirection w:val="lrTb"/>
                  <w:noWrap w:val="false"/>
                </w:tcPr>
                <w:p>
                  <w:pPr>
                    <w:pStyle w:val="892"/>
                    <w:jc w:val="center"/>
                    <w:spacing w:after="0"/>
                    <w:rPr>
                      <w:bCs/>
                      <w:sz w:val="28"/>
                      <w:szCs w:val="28"/>
                    </w:rPr>
                    <w:outlineLvl w:val="0"/>
                  </w:pP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</w:p>
              </w:tc>
              <w:tc>
                <w:tcPr>
                  <w:tcW w:w="1074" w:type="dxa"/>
                  <w:vAlign w:val="top"/>
                  <w:textDirection w:val="lrTb"/>
                  <w:noWrap w:val="false"/>
                </w:tcPr>
                <w:p>
                  <w:pPr>
                    <w:pStyle w:val="892"/>
                    <w:jc w:val="center"/>
                    <w:spacing w:after="0"/>
                    <w:rPr>
                      <w:bCs/>
                      <w:sz w:val="28"/>
                      <w:szCs w:val="28"/>
                    </w:rPr>
                    <w:outlineLvl w:val="0"/>
                  </w:pP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</w:p>
              </w:tc>
              <w:tc>
                <w:tcPr>
                  <w:tcW w:w="1545" w:type="dxa"/>
                  <w:vAlign w:val="top"/>
                  <w:textDirection w:val="lrTb"/>
                  <w:noWrap w:val="false"/>
                </w:tcPr>
                <w:p>
                  <w:pPr>
                    <w:pStyle w:val="892"/>
                    <w:jc w:val="center"/>
                    <w:spacing w:after="0"/>
                    <w:rPr>
                      <w:bCs/>
                      <w:sz w:val="28"/>
                      <w:szCs w:val="28"/>
                    </w:rPr>
                    <w:outlineLvl w:val="0"/>
                  </w:pP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</w:p>
              </w:tc>
              <w:tc>
                <w:tcPr>
                  <w:tcW w:w="1247" w:type="dxa"/>
                  <w:vAlign w:val="top"/>
                  <w:textDirection w:val="lrTb"/>
                  <w:noWrap w:val="false"/>
                </w:tcPr>
                <w:p>
                  <w:pPr>
                    <w:pStyle w:val="892"/>
                    <w:jc w:val="center"/>
                    <w:spacing w:after="0"/>
                    <w:rPr>
                      <w:bCs/>
                      <w:sz w:val="28"/>
                      <w:szCs w:val="28"/>
                    </w:rPr>
                    <w:outlineLvl w:val="0"/>
                  </w:pP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</w:p>
              </w:tc>
              <w:tc>
                <w:tcPr>
                  <w:tcW w:w="2113" w:type="dxa"/>
                  <w:vAlign w:val="top"/>
                  <w:textDirection w:val="lrTb"/>
                  <w:noWrap w:val="false"/>
                </w:tcPr>
                <w:p>
                  <w:pPr>
                    <w:pStyle w:val="892"/>
                    <w:jc w:val="center"/>
                    <w:spacing w:after="0"/>
                    <w:rPr>
                      <w:bCs/>
                      <w:sz w:val="28"/>
                      <w:szCs w:val="28"/>
                    </w:rPr>
                    <w:outlineLvl w:val="0"/>
                  </w:pP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  <w:r>
                    <w:rPr>
                      <w:bCs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862"/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62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62"/>
        <w:ind w:firstLine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tbl>
      <w:tblPr>
        <w:tblW w:w="10319" w:type="dxa"/>
        <w:tblInd w:w="-18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80"/>
        <w:gridCol w:w="393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80" w:type="dxa"/>
            <w:vAlign w:val="top"/>
            <w:textDirection w:val="lrTb"/>
            <w:noWrap w:val="false"/>
          </w:tcPr>
          <w:p>
            <w:pPr>
              <w:pStyle w:val="862"/>
              <w:ind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39" w:type="dxa"/>
            <w:vAlign w:val="top"/>
            <w:textDirection w:val="lrTb"/>
            <w:noWrap w:val="false"/>
          </w:tcPr>
          <w:p>
            <w:pPr>
              <w:pStyle w:val="862"/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от______________2025</w:t>
            </w:r>
            <w:r>
              <w:rPr>
                <w:sz w:val="28"/>
                <w:szCs w:val="28"/>
              </w:rPr>
              <w:t xml:space="preserve"> г. №______________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62"/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color w:val="00000a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color w:val="00000a"/>
          <w:sz w:val="28"/>
          <w:szCs w:val="28"/>
        </w:rPr>
        <w:t xml:space="preserve">Состав организационного комитета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о проведении XXI</w:t>
      </w:r>
      <w:r>
        <w:rPr>
          <w:sz w:val="28"/>
          <w:szCs w:val="28"/>
        </w:rPr>
        <w:t xml:space="preserve"> Республиканской научно-практической конференции имени М.Н.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Морякова для обучающихся общеобразовательных организаций и профессиональных образовательных организаций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774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118"/>
        <w:gridCol w:w="765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Закирова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Минзалия Загриевна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6" w:type="dxa"/>
            <w:vAlign w:val="top"/>
            <w:textDirection w:val="lrTb"/>
            <w:noWrap w:val="false"/>
          </w:tcPr>
          <w:p>
            <w:pPr>
              <w:pStyle w:val="8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vMerge w:val="restart"/>
            <w:textDirection w:val="lrTb"/>
            <w:noWrap w:val="false"/>
          </w:tcPr>
          <w:p>
            <w:pPr>
              <w:pStyle w:val="862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Алексеева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Татьяна Георгиевна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6" w:type="dxa"/>
            <w:vAlign w:val="top"/>
            <w:vMerge w:val="restart"/>
            <w:textDirection w:val="lrTb"/>
            <w:noWrap w:val="false"/>
          </w:tcPr>
          <w:p>
            <w:pPr>
              <w:pStyle w:val="8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общего образования </w:t>
            </w:r>
            <w:r>
              <w:rPr>
                <w:color w:val="00000a"/>
                <w:sz w:val="28"/>
                <w:szCs w:val="28"/>
              </w:rPr>
              <w:t xml:space="preserve">Министерства образования и науки 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62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Саубанова 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  <w:p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Лилия Ильгизовна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6" w:type="dxa"/>
            <w:vAlign w:val="top"/>
            <w:textDirection w:val="lrTb"/>
            <w:noWrap w:val="false"/>
          </w:tcPr>
          <w:p>
            <w:pPr>
              <w:pStyle w:val="862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начальник отдела общего образования и итоговой аттестации обучающихся Министерства образования и науки  Республики Татарстан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Санатуллин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Вагиз Самиуллович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6" w:type="dxa"/>
            <w:vAlign w:val="top"/>
            <w:textDirection w:val="lrTb"/>
            <w:noWrap w:val="false"/>
          </w:tcPr>
          <w:p>
            <w:pPr>
              <w:pStyle w:val="8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муниципального казенного учреждения 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62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Осипова 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  <w:p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Айгуль Наилевна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6" w:type="dxa"/>
            <w:vAlign w:val="top"/>
            <w:textDirection w:val="lrTb"/>
            <w:noWrap w:val="false"/>
          </w:tcPr>
          <w:p>
            <w:pPr>
              <w:pStyle w:val="862"/>
              <w:jc w:val="both"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муниципального казенного учреждения 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Платонова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Константиновна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6" w:type="dxa"/>
            <w:vAlign w:val="top"/>
            <w:textDirection w:val="lrTb"/>
            <w:noWrap w:val="false"/>
          </w:tcPr>
          <w:p>
            <w:pPr>
              <w:pStyle w:val="8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бюджетного общеобразовательного учреждения «Средняя общеобразовательная школа № 2» муниципального образования «Лениногорский муниципальный район» Республики Татарстан (по согласованию)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Лебединцев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Илья Борисович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6" w:type="dxa"/>
            <w:vAlign w:val="top"/>
            <w:textDirection w:val="lrTb"/>
            <w:noWrap w:val="false"/>
          </w:tcPr>
          <w:p>
            <w:pPr>
              <w:pStyle w:val="8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центра развития корпоративной культуры и молодежной политики Корпоративного университета публичного акционерного общества «Татнефть»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8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Врублевский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Игорь Сергеевич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6" w:type="dxa"/>
            <w:vAlign w:val="top"/>
            <w:textDirection w:val="lrTb"/>
            <w:noWrap w:val="false"/>
          </w:tcPr>
          <w:p>
            <w:pPr>
              <w:pStyle w:val="8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государственного автономного профессионального об</w:t>
            </w:r>
            <w:r>
              <w:rPr>
                <w:sz w:val="28"/>
                <w:szCs w:val="28"/>
              </w:rPr>
              <w:t xml:space="preserve">щеобразовательного учреждения </w:t>
            </w:r>
            <w:r>
              <w:rPr>
                <w:sz w:val="28"/>
                <w:szCs w:val="28"/>
              </w:rPr>
              <w:t xml:space="preserve">«Лениногорский нефтяной техникум»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6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rPr>
          <w:highlight w:val="none"/>
        </w:rPr>
      </w:pPr>
      <w:r>
        <w:rPr>
          <w:szCs w:val="28"/>
        </w:rPr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Bookman Old Style">
    <w:panose1 w:val="020606030506050202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35" w:hanging="735"/>
      </w:pPr>
    </w:lvl>
    <w:lvl w:ilvl="1">
      <w:start w:val="1"/>
      <w:numFmt w:val="decimal"/>
      <w:isLgl w:val="false"/>
      <w:suff w:val="tab"/>
      <w:lvlText w:val="%2."/>
      <w:lvlJc w:val="left"/>
      <w:pPr>
        <w:ind w:left="1302" w:hanging="735"/>
      </w:pPr>
    </w:lvl>
    <w:lvl w:ilvl="2">
      <w:start w:val="1"/>
      <w:numFmt w:val="decimal"/>
      <w:isLgl w:val="false"/>
      <w:suff w:val="tab"/>
      <w:lvlText w:val="%1.%2.%3"/>
      <w:lvlJc w:val="left"/>
      <w:pPr>
        <w:ind w:left="1869" w:hanging="735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781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27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842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69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696" w:hanging="216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2"/>
    <w:next w:val="86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2"/>
    <w:next w:val="862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2"/>
    <w:next w:val="862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862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2"/>
    <w:next w:val="862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2"/>
    <w:next w:val="862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2"/>
    <w:next w:val="862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2"/>
    <w:next w:val="862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2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2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2"/>
    <w:next w:val="8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next w:val="862"/>
    <w:link w:val="862"/>
    <w:qFormat/>
    <w:rPr>
      <w:sz w:val="24"/>
      <w:szCs w:val="24"/>
      <w:lang w:val="ru-RU" w:eastAsia="ru-RU" w:bidi="ar-SA"/>
    </w:rPr>
  </w:style>
  <w:style w:type="paragraph" w:styleId="863">
    <w:name w:val="Заголовок 1"/>
    <w:basedOn w:val="862"/>
    <w:next w:val="862"/>
    <w:link w:val="878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character" w:styleId="864">
    <w:name w:val="Основной шрифт абзаца"/>
    <w:next w:val="864"/>
    <w:link w:val="862"/>
    <w:uiPriority w:val="1"/>
    <w:semiHidden/>
    <w:unhideWhenUsed/>
  </w:style>
  <w:style w:type="table" w:styleId="865">
    <w:name w:val="Обычная таблица"/>
    <w:next w:val="865"/>
    <w:link w:val="862"/>
    <w:uiPriority w:val="99"/>
    <w:semiHidden/>
    <w:unhideWhenUsed/>
    <w:tblPr/>
  </w:style>
  <w:style w:type="numbering" w:styleId="866">
    <w:name w:val="Нет списка"/>
    <w:next w:val="866"/>
    <w:link w:val="862"/>
    <w:uiPriority w:val="99"/>
    <w:semiHidden/>
    <w:unhideWhenUsed/>
  </w:style>
  <w:style w:type="table" w:styleId="867">
    <w:name w:val="Сетка таблицы"/>
    <w:basedOn w:val="865"/>
    <w:next w:val="867"/>
    <w:link w:val="862"/>
    <w:tblPr/>
  </w:style>
  <w:style w:type="paragraph" w:styleId="868">
    <w:name w:val="Текст выноски"/>
    <w:basedOn w:val="862"/>
    <w:next w:val="868"/>
    <w:link w:val="862"/>
    <w:semiHidden/>
    <w:rPr>
      <w:rFonts w:ascii="Tahoma" w:hAnsi="Tahoma" w:cs="Tahoma"/>
      <w:sz w:val="16"/>
      <w:szCs w:val="16"/>
    </w:rPr>
  </w:style>
  <w:style w:type="paragraph" w:styleId="869">
    <w:name w:val="Название"/>
    <w:basedOn w:val="862"/>
    <w:next w:val="869"/>
    <w:link w:val="884"/>
    <w:qFormat/>
    <w:pPr>
      <w:jc w:val="center"/>
    </w:pPr>
    <w:rPr>
      <w:b/>
      <w:sz w:val="27"/>
      <w:szCs w:val="20"/>
      <w:lang w:val="en-US" w:eastAsia="en-US"/>
    </w:rPr>
  </w:style>
  <w:style w:type="paragraph" w:styleId="870">
    <w:name w:val="Абзац списка"/>
    <w:basedOn w:val="862"/>
    <w:next w:val="870"/>
    <w:link w:val="862"/>
    <w:uiPriority w:val="34"/>
    <w:qFormat/>
    <w:pPr>
      <w:contextualSpacing/>
      <w:ind w:left="720"/>
    </w:pPr>
  </w:style>
  <w:style w:type="character" w:styleId="871">
    <w:name w:val="Гиперссылка"/>
    <w:next w:val="871"/>
    <w:link w:val="862"/>
    <w:rPr>
      <w:color w:val="0000ff"/>
      <w:u w:val="single"/>
    </w:rPr>
  </w:style>
  <w:style w:type="paragraph" w:styleId="872">
    <w:name w:val="Без интервала"/>
    <w:next w:val="872"/>
    <w:link w:val="862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873">
    <w:name w:val="Верхний колонтитул"/>
    <w:basedOn w:val="862"/>
    <w:next w:val="873"/>
    <w:link w:val="87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4">
    <w:name w:val="Верхний колонтитул Знак"/>
    <w:next w:val="874"/>
    <w:link w:val="873"/>
    <w:rPr>
      <w:sz w:val="24"/>
      <w:szCs w:val="24"/>
    </w:rPr>
  </w:style>
  <w:style w:type="paragraph" w:styleId="875">
    <w:name w:val="Нижний колонтитул"/>
    <w:basedOn w:val="862"/>
    <w:next w:val="875"/>
    <w:link w:val="876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6">
    <w:name w:val="Нижний колонтитул Знак"/>
    <w:next w:val="876"/>
    <w:link w:val="875"/>
    <w:rPr>
      <w:sz w:val="24"/>
      <w:szCs w:val="24"/>
    </w:rPr>
  </w:style>
  <w:style w:type="character" w:styleId="877">
    <w:name w:val="Замещающий текст"/>
    <w:next w:val="877"/>
    <w:link w:val="862"/>
    <w:uiPriority w:val="99"/>
    <w:semiHidden/>
    <w:rPr>
      <w:color w:val="808080"/>
    </w:rPr>
  </w:style>
  <w:style w:type="character" w:styleId="878">
    <w:name w:val="Заголовок 1 Знак"/>
    <w:next w:val="878"/>
    <w:link w:val="863"/>
    <w:rPr>
      <w:b/>
      <w:sz w:val="28"/>
    </w:rPr>
  </w:style>
  <w:style w:type="paragraph" w:styleId="879">
    <w:name w:val="Основной текст с отступом 2"/>
    <w:basedOn w:val="862"/>
    <w:next w:val="879"/>
    <w:link w:val="880"/>
    <w:pPr>
      <w:ind w:left="283"/>
      <w:spacing w:after="120" w:line="480" w:lineRule="auto"/>
    </w:pPr>
    <w:rPr>
      <w:lang w:val="en-US" w:eastAsia="en-US"/>
    </w:rPr>
  </w:style>
  <w:style w:type="character" w:styleId="880">
    <w:name w:val="Основной текст с отступом 2 Знак"/>
    <w:next w:val="880"/>
    <w:link w:val="879"/>
    <w:rPr>
      <w:sz w:val="24"/>
      <w:szCs w:val="24"/>
    </w:rPr>
  </w:style>
  <w:style w:type="paragraph" w:styleId="881">
    <w:name w:val="Основной текст 2"/>
    <w:basedOn w:val="862"/>
    <w:next w:val="881"/>
    <w:link w:val="882"/>
    <w:pPr>
      <w:spacing w:after="120" w:line="480" w:lineRule="auto"/>
    </w:pPr>
    <w:rPr>
      <w:lang w:val="en-US" w:eastAsia="en-US"/>
    </w:rPr>
  </w:style>
  <w:style w:type="character" w:styleId="882">
    <w:name w:val="Основной текст 2 Знак"/>
    <w:next w:val="882"/>
    <w:link w:val="881"/>
    <w:rPr>
      <w:sz w:val="24"/>
      <w:szCs w:val="24"/>
    </w:rPr>
  </w:style>
  <w:style w:type="character" w:styleId="883">
    <w:name w:val="st1"/>
    <w:next w:val="883"/>
    <w:link w:val="862"/>
  </w:style>
  <w:style w:type="character" w:styleId="884">
    <w:name w:val="Название Знак"/>
    <w:next w:val="884"/>
    <w:link w:val="869"/>
    <w:rPr>
      <w:b/>
      <w:sz w:val="27"/>
    </w:rPr>
  </w:style>
  <w:style w:type="character" w:styleId="885">
    <w:name w:val="Основной текст_"/>
    <w:next w:val="885"/>
    <w:link w:val="886"/>
    <w:rPr>
      <w:sz w:val="26"/>
      <w:szCs w:val="26"/>
      <w:shd w:val="clear" w:color="auto" w:fill="ffffff"/>
    </w:rPr>
  </w:style>
  <w:style w:type="paragraph" w:styleId="886">
    <w:name w:val="Основной текст2"/>
    <w:basedOn w:val="862"/>
    <w:next w:val="886"/>
    <w:link w:val="885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character" w:styleId="887" w:default="1">
    <w:name w:val="Default Paragraph Font"/>
    <w:uiPriority w:val="1"/>
    <w:semiHidden/>
    <w:unhideWhenUsed/>
  </w:style>
  <w:style w:type="numbering" w:styleId="888" w:default="1">
    <w:name w:val="No List"/>
    <w:uiPriority w:val="99"/>
    <w:semiHidden/>
    <w:unhideWhenUsed/>
  </w:style>
  <w:style w:type="table" w:styleId="889" w:default="1">
    <w:name w:val="Normal Table"/>
    <w:uiPriority w:val="99"/>
    <w:semiHidden/>
    <w:unhideWhenUsed/>
    <w:tblPr/>
  </w:style>
  <w:style w:type="paragraph" w:styleId="890" w:customStyle="1">
    <w:name w:val="rtejustify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1" w:customStyle="1">
    <w:name w:val="Обычный (веб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2" w:customStyle="1">
    <w:name w:val="Основной текст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3" w:customStyle="1">
    <w:name w:val="Style3"/>
    <w:pPr>
      <w:contextualSpacing w:val="0"/>
      <w:ind w:left="0" w:right="0" w:firstLine="557"/>
      <w:jc w:val="left"/>
      <w:keepLines w:val="0"/>
      <w:keepNext w:val="0"/>
      <w:pageBreakBefore w:val="0"/>
      <w:spacing w:before="0" w:beforeAutospacing="0" w:after="0" w:afterAutospacing="0" w:line="283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94" w:customStyle="1">
    <w:name w:val="Font Style13"/>
    <w:rPr>
      <w:rFonts w:ascii="Times New Roman" w:hAnsi="Times New Roman" w:cs="Times New Roman"/>
      <w:sz w:val="24"/>
      <w:szCs w:val="24"/>
    </w:rPr>
  </w:style>
  <w:style w:type="paragraph" w:styleId="895" w:customStyle="1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9"/>
      <w:szCs w:val="29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5</cp:revision>
  <dcterms:created xsi:type="dcterms:W3CDTF">2014-10-29T08:28:00Z</dcterms:created>
  <dcterms:modified xsi:type="dcterms:W3CDTF">2025-02-26T13:02:23Z</dcterms:modified>
  <cp:version>917504</cp:version>
</cp:coreProperties>
</file>